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E875" w14:textId="238CE9AE" w:rsidR="001411A1" w:rsidRPr="00147A50" w:rsidRDefault="005731A2">
      <w:pPr>
        <w:rPr>
          <w:b/>
          <w:bCs/>
          <w:sz w:val="24"/>
          <w:szCs w:val="24"/>
        </w:rPr>
      </w:pPr>
      <w:r w:rsidRPr="00147A50">
        <w:rPr>
          <w:b/>
          <w:bCs/>
          <w:sz w:val="24"/>
          <w:szCs w:val="24"/>
        </w:rPr>
        <w:t>Hinweise zu</w:t>
      </w:r>
      <w:r w:rsidR="0002434C" w:rsidRPr="00147A50">
        <w:rPr>
          <w:b/>
          <w:bCs/>
          <w:sz w:val="24"/>
          <w:szCs w:val="24"/>
        </w:rPr>
        <w:t xml:space="preserve"> den</w:t>
      </w:r>
      <w:r w:rsidRPr="00147A50">
        <w:rPr>
          <w:b/>
          <w:bCs/>
          <w:sz w:val="24"/>
          <w:szCs w:val="24"/>
        </w:rPr>
        <w:t xml:space="preserve"> </w:t>
      </w:r>
    </w:p>
    <w:p w14:paraId="3510EAEA" w14:textId="1F51B052" w:rsidR="005731A2" w:rsidRPr="00147A50" w:rsidRDefault="005731A2">
      <w:pPr>
        <w:rPr>
          <w:b/>
          <w:bCs/>
          <w:sz w:val="24"/>
          <w:szCs w:val="24"/>
        </w:rPr>
      </w:pPr>
      <w:r w:rsidRPr="00147A50">
        <w:rPr>
          <w:b/>
          <w:bCs/>
          <w:sz w:val="24"/>
          <w:szCs w:val="24"/>
        </w:rPr>
        <w:t>Auswirkungen der Fusion der Kreissparkasse Augsburg mit der Sparkasse MM-LI-MN</w:t>
      </w:r>
    </w:p>
    <w:p w14:paraId="55141C97" w14:textId="639545DC" w:rsidR="005731A2" w:rsidRPr="00147A50" w:rsidRDefault="009129E8">
      <w:pPr>
        <w:rPr>
          <w:b/>
          <w:bCs/>
          <w:sz w:val="24"/>
          <w:szCs w:val="24"/>
        </w:rPr>
      </w:pPr>
      <w:r w:rsidRPr="00147A50">
        <w:rPr>
          <w:b/>
          <w:bCs/>
          <w:sz w:val="24"/>
          <w:szCs w:val="24"/>
        </w:rPr>
        <w:t>z</w:t>
      </w:r>
      <w:r w:rsidR="005731A2" w:rsidRPr="00147A50">
        <w:rPr>
          <w:b/>
          <w:bCs/>
          <w:sz w:val="24"/>
          <w:szCs w:val="24"/>
        </w:rPr>
        <w:t xml:space="preserve">ur Sparkasse </w:t>
      </w:r>
      <w:r w:rsidRPr="00147A50">
        <w:rPr>
          <w:b/>
          <w:bCs/>
          <w:sz w:val="24"/>
          <w:szCs w:val="24"/>
        </w:rPr>
        <w:t>Schwaben</w:t>
      </w:r>
      <w:r w:rsidR="005731A2" w:rsidRPr="00147A50">
        <w:rPr>
          <w:b/>
          <w:bCs/>
          <w:sz w:val="24"/>
          <w:szCs w:val="24"/>
        </w:rPr>
        <w:t>-Bodensee</w:t>
      </w:r>
    </w:p>
    <w:p w14:paraId="3C5C5BDE" w14:textId="3E3D2399" w:rsidR="005731A2" w:rsidRPr="00147A50" w:rsidRDefault="005731A2">
      <w:pPr>
        <w:rPr>
          <w:sz w:val="24"/>
          <w:szCs w:val="24"/>
        </w:rPr>
      </w:pPr>
    </w:p>
    <w:p w14:paraId="7F966C46" w14:textId="29281E1C" w:rsidR="005731A2" w:rsidRPr="0002434C" w:rsidRDefault="005731A2">
      <w:pPr>
        <w:rPr>
          <w:b/>
          <w:bCs/>
        </w:rPr>
      </w:pPr>
      <w:r w:rsidRPr="0002434C">
        <w:rPr>
          <w:b/>
          <w:bCs/>
        </w:rPr>
        <w:t>Grundlagen:</w:t>
      </w:r>
    </w:p>
    <w:p w14:paraId="0317D22C" w14:textId="5B94F412" w:rsidR="005731A2" w:rsidRDefault="005731A2" w:rsidP="009A4895">
      <w:pPr>
        <w:pStyle w:val="Listenabsatz"/>
        <w:numPr>
          <w:ilvl w:val="0"/>
          <w:numId w:val="1"/>
        </w:numPr>
      </w:pPr>
      <w:r>
        <w:t>Geschäftsberichte der Kreissparkasse Augsburg 2015-2019</w:t>
      </w:r>
    </w:p>
    <w:p w14:paraId="7C644235" w14:textId="740F773A" w:rsidR="005731A2" w:rsidRDefault="005731A2" w:rsidP="009A4895">
      <w:pPr>
        <w:pStyle w:val="Listenabsatz"/>
        <w:numPr>
          <w:ilvl w:val="0"/>
          <w:numId w:val="1"/>
        </w:numPr>
      </w:pPr>
      <w:r>
        <w:t>Offenlegungsberichte der Kreissparkasse Augsburg 2015-2019</w:t>
      </w:r>
    </w:p>
    <w:p w14:paraId="17B9AFF1" w14:textId="37D51D1D" w:rsidR="005731A2" w:rsidRDefault="005731A2" w:rsidP="009A4895">
      <w:pPr>
        <w:pStyle w:val="Listenabsatz"/>
        <w:numPr>
          <w:ilvl w:val="0"/>
          <w:numId w:val="1"/>
        </w:numPr>
      </w:pPr>
      <w:r>
        <w:t>Geschäftsberichte der Sparkasse MM-LI-MN</w:t>
      </w:r>
      <w:r w:rsidR="009A4895">
        <w:t xml:space="preserve"> 2015-2019</w:t>
      </w:r>
    </w:p>
    <w:p w14:paraId="7DF62E7B" w14:textId="3B6776A7" w:rsidR="005731A2" w:rsidRDefault="005731A2" w:rsidP="009A4895">
      <w:pPr>
        <w:pStyle w:val="Listenabsatz"/>
        <w:numPr>
          <w:ilvl w:val="0"/>
          <w:numId w:val="1"/>
        </w:numPr>
      </w:pPr>
      <w:r>
        <w:t xml:space="preserve">Offenlegungsberichte der Sparkasse </w:t>
      </w:r>
      <w:r w:rsidR="009A4895">
        <w:t>MM-LI-MN 2015-2019</w:t>
      </w:r>
    </w:p>
    <w:p w14:paraId="32165777" w14:textId="3576F0B1" w:rsidR="005731A2" w:rsidRDefault="005731A2" w:rsidP="009A4895">
      <w:pPr>
        <w:pStyle w:val="Listenabsatz"/>
        <w:numPr>
          <w:ilvl w:val="0"/>
          <w:numId w:val="1"/>
        </w:numPr>
      </w:pPr>
      <w:r>
        <w:t>Richtlinien (Rahmensätze) des Sparkassenverbands Bayern für die Vergütung und Versorgung der Mitglieder von Sparkassenverbänden vom 2</w:t>
      </w:r>
      <w:r w:rsidR="007052A8">
        <w:t>1</w:t>
      </w:r>
      <w:r>
        <w:t>.11.201</w:t>
      </w:r>
      <w:r w:rsidR="007052A8">
        <w:t>3</w:t>
      </w:r>
    </w:p>
    <w:p w14:paraId="51AB3F12" w14:textId="77777777" w:rsidR="007052A8" w:rsidRDefault="007052A8" w:rsidP="007052A8">
      <w:pPr>
        <w:pStyle w:val="Listenabsatz"/>
        <w:numPr>
          <w:ilvl w:val="0"/>
          <w:numId w:val="1"/>
        </w:numPr>
      </w:pPr>
      <w:r>
        <w:t>Richtlinien (Rahmensätze) des Sparkassenverbands Bayern für die Vergütung und Versorgung der Mitglieder von Sparkassenverbänden vom 29.11.2018</w:t>
      </w:r>
    </w:p>
    <w:p w14:paraId="20142168" w14:textId="199A9D65" w:rsidR="005731A2" w:rsidRDefault="005731A2" w:rsidP="009A4895">
      <w:pPr>
        <w:pStyle w:val="Listenabsatz"/>
        <w:numPr>
          <w:ilvl w:val="0"/>
          <w:numId w:val="1"/>
        </w:numPr>
      </w:pPr>
      <w:r>
        <w:t>Richtlinien des Sparkassenverbands Bayern für die Entschädigung der Mitglieder von Verwaltungsräten der bayerischen Sparkassen vom 29.12.2006</w:t>
      </w:r>
    </w:p>
    <w:p w14:paraId="4685CCC5" w14:textId="77777777" w:rsidR="005731A2" w:rsidRPr="0002434C" w:rsidRDefault="005731A2">
      <w:pPr>
        <w:rPr>
          <w:sz w:val="16"/>
          <w:szCs w:val="16"/>
        </w:rPr>
      </w:pPr>
    </w:p>
    <w:p w14:paraId="3CD14B7A" w14:textId="38593771" w:rsidR="005731A2" w:rsidRPr="00326717" w:rsidRDefault="00326717">
      <w:pPr>
        <w:rPr>
          <w:b/>
          <w:bCs/>
        </w:rPr>
      </w:pPr>
      <w:r w:rsidRPr="00326717">
        <w:rPr>
          <w:b/>
          <w:bCs/>
        </w:rPr>
        <w:t>Vorgeschichte</w:t>
      </w:r>
    </w:p>
    <w:p w14:paraId="51B0C58A" w14:textId="368A4A80" w:rsidR="00326717" w:rsidRDefault="00326717">
      <w:r>
        <w:t xml:space="preserve">Am Donnerstag, den 22. April wurde in einer Pressekonferenz in Mindelheim bekannt gegeben, dass die Kreissparkasse Augsburg mit der Sparkasse Memmingen-Lindau-Mindelheim ab 2022 fusionieren will. Das Genehmigungsverfahren wird in einer </w:t>
      </w:r>
      <w:r w:rsidR="00C92319">
        <w:t>atemberaubender</w:t>
      </w:r>
      <w:r>
        <w:t xml:space="preserve"> Geschwindigkeit durchgezogen: Bereits am 10. Mai soll der Kreistag von Augsburg darüber beschließen, am 20 Mai der Stadtrat von Lindau.</w:t>
      </w:r>
      <w:r w:rsidR="00EF6907">
        <w:t xml:space="preserve"> Die Termine der anderen Sparkassenträger (Stadtrat Schwabmünchen, Kreistage von Unterallgäu und Lindau, Stadtrat von Memmingen und Mindelheim) sind unbekannt.</w:t>
      </w:r>
    </w:p>
    <w:p w14:paraId="30A24356" w14:textId="5BFE0060" w:rsidR="00326717" w:rsidRPr="0002434C" w:rsidRDefault="00326717">
      <w:pPr>
        <w:rPr>
          <w:sz w:val="16"/>
          <w:szCs w:val="16"/>
        </w:rPr>
      </w:pPr>
    </w:p>
    <w:p w14:paraId="3A613D50" w14:textId="6F98FA05" w:rsidR="00326717" w:rsidRDefault="00326717">
      <w:r>
        <w:t xml:space="preserve">Diese Geschwindigkeit ist </w:t>
      </w:r>
      <w:r w:rsidR="00EF6907">
        <w:t xml:space="preserve">höchst </w:t>
      </w:r>
      <w:r>
        <w:t>verdächtig</w:t>
      </w:r>
      <w:r w:rsidR="00EF6907">
        <w:t xml:space="preserve">. </w:t>
      </w:r>
      <w:r>
        <w:t xml:space="preserve"> </w:t>
      </w:r>
      <w:r w:rsidR="00EF6907">
        <w:t>N</w:t>
      </w:r>
      <w:r>
        <w:t>ach den gemachten Erfahrungen bei Sparkassenfusionen sollen die Entscheidungsgremien überrumpelt werden und keine Zeit</w:t>
      </w:r>
      <w:r w:rsidR="00EF6907">
        <w:t xml:space="preserve"> mehr haben</w:t>
      </w:r>
      <w:r>
        <w:t xml:space="preserve"> </w:t>
      </w:r>
      <w:r w:rsidR="00EF6907">
        <w:t xml:space="preserve">für </w:t>
      </w:r>
      <w:r>
        <w:t>gründliche Überlegungen über die Vor- und Nachteile einer Fusion</w:t>
      </w:r>
      <w:r w:rsidR="00EF6907">
        <w:t>.</w:t>
      </w:r>
    </w:p>
    <w:p w14:paraId="5ABC9145" w14:textId="0F1DE866" w:rsidR="00EF6907" w:rsidRPr="0002434C" w:rsidRDefault="00EF6907">
      <w:pPr>
        <w:rPr>
          <w:sz w:val="16"/>
          <w:szCs w:val="16"/>
        </w:rPr>
      </w:pPr>
    </w:p>
    <w:p w14:paraId="6096BF9F" w14:textId="77777777" w:rsidR="00B004B5" w:rsidRDefault="00EF6907">
      <w:r>
        <w:t xml:space="preserve">Bei uns in Landsberg sollte vor drei Jahren eine Monsterfusion der Sparkassen Dachau, Fürstenfeldbruck und Landsberg gemacht werden. Sie scheiterte am Widerstand von Bürgern und von Kommunalpolitikern. Die </w:t>
      </w:r>
      <w:r w:rsidR="00B004B5">
        <w:t>in der Auseinandersetzung erstellten Papiere stellen noch immer die Grundlage für entsprechende Analysen dar.</w:t>
      </w:r>
    </w:p>
    <w:p w14:paraId="0D3B81D5" w14:textId="77777777" w:rsidR="00B004B5" w:rsidRPr="00B72810" w:rsidRDefault="00B004B5">
      <w:pPr>
        <w:rPr>
          <w:b/>
          <w:bCs/>
          <w:sz w:val="24"/>
          <w:szCs w:val="24"/>
        </w:rPr>
      </w:pPr>
    </w:p>
    <w:p w14:paraId="02D229E2" w14:textId="49EBC359" w:rsidR="00B004B5" w:rsidRPr="00B72810" w:rsidRDefault="00B004B5" w:rsidP="00B004B5">
      <w:pPr>
        <w:pStyle w:val="Listenabsatz"/>
        <w:numPr>
          <w:ilvl w:val="0"/>
          <w:numId w:val="3"/>
        </w:numPr>
        <w:rPr>
          <w:b/>
          <w:bCs/>
          <w:sz w:val="24"/>
          <w:szCs w:val="24"/>
        </w:rPr>
      </w:pPr>
      <w:r w:rsidRPr="00B72810">
        <w:rPr>
          <w:b/>
          <w:bCs/>
          <w:sz w:val="24"/>
          <w:szCs w:val="24"/>
        </w:rPr>
        <w:t>Der Zeitpunkt der Beschlussfassungen</w:t>
      </w:r>
      <w:r w:rsidR="00C92319">
        <w:rPr>
          <w:b/>
          <w:bCs/>
          <w:sz w:val="24"/>
          <w:szCs w:val="24"/>
        </w:rPr>
        <w:t xml:space="preserve"> in den Gremien</w:t>
      </w:r>
      <w:r w:rsidRPr="00B72810">
        <w:rPr>
          <w:b/>
          <w:bCs/>
          <w:sz w:val="24"/>
          <w:szCs w:val="24"/>
        </w:rPr>
        <w:t>.</w:t>
      </w:r>
    </w:p>
    <w:p w14:paraId="1CFCEDC2" w14:textId="6E0C2DBD" w:rsidR="00D24B28" w:rsidRDefault="00B004B5" w:rsidP="00B004B5">
      <w:r>
        <w:t>Die Stadträte und Kreisräte sind gehalten, im Mai die Fusionsbeschlüsse zu fassen. Dazu müssen aber die aktuellen und genehmigten Jahresabschlüsse 2020 vorliegen. Das ist nicht der Fall, da der Genehmigungsprozess noch in vollem Gange ist. Maßgeblich ist der Zeitpunkt</w:t>
      </w:r>
      <w:r w:rsidR="00C92319">
        <w:t>,</w:t>
      </w:r>
      <w:r>
        <w:t xml:space="preserve"> zu dem der </w:t>
      </w:r>
      <w:r w:rsidRPr="00B004B5">
        <w:rPr>
          <w:u w:val="single"/>
        </w:rPr>
        <w:t xml:space="preserve">Verwaltungsrat </w:t>
      </w:r>
      <w:r>
        <w:t xml:space="preserve">den Jahresbericht 2020 feststellt. Das war für 2019 bei der Sparkasse MM-LI-MN der 30. Juni 2020, bei der Kreissparkasse Augsburg der 24. Juni 2020. </w:t>
      </w:r>
    </w:p>
    <w:p w14:paraId="7DEE7F84" w14:textId="77777777" w:rsidR="00D24B28" w:rsidRDefault="00D24B28" w:rsidP="00B004B5"/>
    <w:p w14:paraId="06A165C3" w14:textId="419EDF04" w:rsidR="00B004B5" w:rsidRDefault="00B004B5" w:rsidP="00B004B5">
      <w:r>
        <w:t xml:space="preserve">In der Regel ist es so, dass die Beschlussfassung des Verwaltungsrats im Juni/Juli erfolgt und die Bekanntmachung im Bundesanzeiger im August/September. Erst ab diesem Zeitpunkt kann auch der Bürger Einsicht nehmen in die </w:t>
      </w:r>
      <w:r w:rsidR="00D24B28">
        <w:t>Sparkassenbilanz.</w:t>
      </w:r>
    </w:p>
    <w:p w14:paraId="06DE843C" w14:textId="77777777" w:rsidR="00D24B28" w:rsidRDefault="00D24B28" w:rsidP="00B004B5"/>
    <w:p w14:paraId="7ACD629F" w14:textId="5F58D5BA" w:rsidR="00D24B28" w:rsidRDefault="00D24B28" w:rsidP="00B004B5">
      <w:r>
        <w:t xml:space="preserve">Als einzigen Anhaltspunkt für die Beurteilung der Fusion hat man nur die </w:t>
      </w:r>
      <w:r w:rsidR="00C92319">
        <w:t>überholten</w:t>
      </w:r>
      <w:r>
        <w:t xml:space="preserve"> Daten von 2019.</w:t>
      </w:r>
    </w:p>
    <w:p w14:paraId="6E434F40" w14:textId="31FEBDD8" w:rsidR="00D24B28" w:rsidRDefault="00D24B28" w:rsidP="00B004B5">
      <w:r>
        <w:t xml:space="preserve">Meines Wissens sind Fusionsbestrebungen stets erst nach der Veröffentlichung der aktuellen Bilanz angestellt worden. </w:t>
      </w:r>
    </w:p>
    <w:p w14:paraId="14C5D40C" w14:textId="3D55087F" w:rsidR="0002434C" w:rsidRDefault="00B72810" w:rsidP="00B004B5">
      <w:r w:rsidRPr="00B72810">
        <w:rPr>
          <w:b/>
          <w:bCs/>
        </w:rPr>
        <w:t>Empfehlung: Die Beschlussfassung wird vertagt nach Veröffentlichung der Jahresbilanz 2020</w:t>
      </w:r>
      <w:r>
        <w:t>.</w:t>
      </w:r>
    </w:p>
    <w:p w14:paraId="0233B53A" w14:textId="77777777" w:rsidR="0002434C" w:rsidRDefault="0002434C">
      <w:r>
        <w:br w:type="page"/>
      </w:r>
    </w:p>
    <w:p w14:paraId="057D91F5" w14:textId="77777777" w:rsidR="00B72810" w:rsidRDefault="00B72810" w:rsidP="00B004B5"/>
    <w:p w14:paraId="584E32D9" w14:textId="0C92501E" w:rsidR="00B72810" w:rsidRDefault="00B72810" w:rsidP="00B72810">
      <w:pPr>
        <w:pStyle w:val="Listenabsatz"/>
        <w:numPr>
          <w:ilvl w:val="0"/>
          <w:numId w:val="3"/>
        </w:numPr>
        <w:rPr>
          <w:b/>
          <w:bCs/>
          <w:sz w:val="24"/>
          <w:szCs w:val="24"/>
        </w:rPr>
      </w:pPr>
      <w:r w:rsidRPr="00B72810">
        <w:rPr>
          <w:b/>
          <w:bCs/>
          <w:sz w:val="24"/>
          <w:szCs w:val="24"/>
        </w:rPr>
        <w:t>Die Gewinner der Fusion</w:t>
      </w:r>
    </w:p>
    <w:p w14:paraId="64184F8F" w14:textId="4DEFA03F" w:rsidR="00B72810" w:rsidRDefault="00B72810" w:rsidP="00B72810">
      <w:pPr>
        <w:rPr>
          <w:sz w:val="24"/>
          <w:szCs w:val="24"/>
        </w:rPr>
      </w:pPr>
      <w:r>
        <w:rPr>
          <w:sz w:val="24"/>
          <w:szCs w:val="24"/>
        </w:rPr>
        <w:t xml:space="preserve">Diese sind leicht </w:t>
      </w:r>
      <w:r w:rsidR="00C92319">
        <w:rPr>
          <w:sz w:val="24"/>
          <w:szCs w:val="24"/>
        </w:rPr>
        <w:t>festzustellen</w:t>
      </w:r>
      <w:r>
        <w:rPr>
          <w:sz w:val="24"/>
          <w:szCs w:val="24"/>
        </w:rPr>
        <w:t>:</w:t>
      </w:r>
    </w:p>
    <w:p w14:paraId="4340109E" w14:textId="5E460894" w:rsidR="00B72810" w:rsidRDefault="00B72810" w:rsidP="00B72810">
      <w:pPr>
        <w:pStyle w:val="Listenabsatz"/>
        <w:numPr>
          <w:ilvl w:val="0"/>
          <w:numId w:val="4"/>
        </w:numPr>
        <w:rPr>
          <w:sz w:val="24"/>
          <w:szCs w:val="24"/>
        </w:rPr>
      </w:pPr>
      <w:r>
        <w:rPr>
          <w:sz w:val="24"/>
          <w:szCs w:val="24"/>
        </w:rPr>
        <w:t>Sparkassenvorstände</w:t>
      </w:r>
    </w:p>
    <w:p w14:paraId="3FC3FDFE" w14:textId="6877B925" w:rsidR="00B72810" w:rsidRDefault="00B72810" w:rsidP="00B72810">
      <w:pPr>
        <w:pStyle w:val="Listenabsatz"/>
        <w:numPr>
          <w:ilvl w:val="0"/>
          <w:numId w:val="4"/>
        </w:numPr>
        <w:rPr>
          <w:sz w:val="24"/>
          <w:szCs w:val="24"/>
        </w:rPr>
      </w:pPr>
      <w:r>
        <w:rPr>
          <w:sz w:val="24"/>
          <w:szCs w:val="24"/>
        </w:rPr>
        <w:t>Verwaltungsräte</w:t>
      </w:r>
    </w:p>
    <w:p w14:paraId="62C8A2D2" w14:textId="49DFE826" w:rsidR="00B72810" w:rsidRDefault="00B72810" w:rsidP="00B72810">
      <w:pPr>
        <w:pStyle w:val="Listenabsatz"/>
        <w:numPr>
          <w:ilvl w:val="0"/>
          <w:numId w:val="4"/>
        </w:numPr>
        <w:rPr>
          <w:sz w:val="24"/>
          <w:szCs w:val="24"/>
        </w:rPr>
      </w:pPr>
      <w:r>
        <w:rPr>
          <w:sz w:val="24"/>
          <w:szCs w:val="24"/>
        </w:rPr>
        <w:t>Einige Sparkassenmitarbeiter, die in gehobene Positionen aufrücken.</w:t>
      </w:r>
    </w:p>
    <w:p w14:paraId="2DD9DC69" w14:textId="53439581" w:rsidR="00B72810" w:rsidRPr="0002434C" w:rsidRDefault="00B72810" w:rsidP="00B72810">
      <w:pPr>
        <w:rPr>
          <w:sz w:val="16"/>
          <w:szCs w:val="16"/>
        </w:rPr>
      </w:pPr>
    </w:p>
    <w:p w14:paraId="5CD327DC" w14:textId="06664F8A" w:rsidR="007052A8" w:rsidRDefault="00B72810" w:rsidP="007052A8">
      <w:pPr>
        <w:rPr>
          <w:sz w:val="24"/>
          <w:szCs w:val="24"/>
        </w:rPr>
      </w:pPr>
      <w:r w:rsidRPr="007052A8">
        <w:rPr>
          <w:sz w:val="24"/>
          <w:szCs w:val="24"/>
        </w:rPr>
        <w:t>Die Höhe der Bezüge von Sparkassenvorständen</w:t>
      </w:r>
      <w:r w:rsidR="007052A8">
        <w:rPr>
          <w:sz w:val="24"/>
          <w:szCs w:val="24"/>
        </w:rPr>
        <w:t xml:space="preserve"> </w:t>
      </w:r>
      <w:r w:rsidR="00053A96">
        <w:rPr>
          <w:sz w:val="24"/>
          <w:szCs w:val="24"/>
        </w:rPr>
        <w:t>und daraus abgeleitet die der Verwaltungs</w:t>
      </w:r>
      <w:r w:rsidR="00053A96">
        <w:rPr>
          <w:sz w:val="24"/>
          <w:szCs w:val="24"/>
        </w:rPr>
        <w:softHyphen/>
        <w:t xml:space="preserve">räte </w:t>
      </w:r>
      <w:r w:rsidR="007052A8">
        <w:rPr>
          <w:sz w:val="24"/>
          <w:szCs w:val="24"/>
        </w:rPr>
        <w:t>war bis Ende 2018</w:t>
      </w:r>
      <w:r w:rsidRPr="007052A8">
        <w:rPr>
          <w:sz w:val="24"/>
          <w:szCs w:val="24"/>
        </w:rPr>
        <w:t xml:space="preserve"> geregelt in </w:t>
      </w:r>
      <w:r w:rsidR="007052A8" w:rsidRPr="007052A8">
        <w:rPr>
          <w:sz w:val="24"/>
          <w:szCs w:val="24"/>
        </w:rPr>
        <w:t>den Richtlinien des Sparkassenverbands Bayern für die Vergütung und Versorgung der Mitglieder von Sparkassenverbänden vom 2</w:t>
      </w:r>
      <w:r w:rsidR="007052A8">
        <w:rPr>
          <w:sz w:val="24"/>
          <w:szCs w:val="24"/>
        </w:rPr>
        <w:t>1</w:t>
      </w:r>
      <w:r w:rsidR="007052A8" w:rsidRPr="007052A8">
        <w:rPr>
          <w:sz w:val="24"/>
          <w:szCs w:val="24"/>
        </w:rPr>
        <w:t>.11.201</w:t>
      </w:r>
      <w:r w:rsidR="007052A8">
        <w:rPr>
          <w:sz w:val="24"/>
          <w:szCs w:val="24"/>
        </w:rPr>
        <w:t>3</w:t>
      </w:r>
      <w:r w:rsidR="0069105A">
        <w:rPr>
          <w:sz w:val="24"/>
          <w:szCs w:val="24"/>
        </w:rPr>
        <w:t>.</w:t>
      </w:r>
    </w:p>
    <w:p w14:paraId="71EAC430" w14:textId="5145697C" w:rsidR="00C4565D" w:rsidRPr="0002434C" w:rsidRDefault="00C4565D" w:rsidP="007052A8">
      <w:pPr>
        <w:rPr>
          <w:sz w:val="16"/>
          <w:szCs w:val="16"/>
        </w:rPr>
      </w:pPr>
    </w:p>
    <w:p w14:paraId="6EECA4F8" w14:textId="72B9D0BB" w:rsidR="002607C5" w:rsidRDefault="002607C5" w:rsidP="007052A8">
      <w:pPr>
        <w:rPr>
          <w:sz w:val="24"/>
          <w:szCs w:val="24"/>
        </w:rPr>
      </w:pPr>
      <w:r>
        <w:rPr>
          <w:sz w:val="24"/>
          <w:szCs w:val="24"/>
        </w:rPr>
        <w:t xml:space="preserve">Zunächst wurde eine </w:t>
      </w:r>
      <w:r w:rsidRPr="006275DC">
        <w:rPr>
          <w:sz w:val="24"/>
          <w:szCs w:val="24"/>
          <w:u w:val="single"/>
        </w:rPr>
        <w:t>Bemessungsgrundlage</w:t>
      </w:r>
      <w:r>
        <w:rPr>
          <w:sz w:val="24"/>
          <w:szCs w:val="24"/>
        </w:rPr>
        <w:t xml:space="preserve"> ermittelt aus folgenden Positionen</w:t>
      </w:r>
    </w:p>
    <w:tbl>
      <w:tblPr>
        <w:tblW w:w="10040" w:type="dxa"/>
        <w:tblCellMar>
          <w:left w:w="70" w:type="dxa"/>
          <w:right w:w="70" w:type="dxa"/>
        </w:tblCellMar>
        <w:tblLook w:val="04A0" w:firstRow="1" w:lastRow="0" w:firstColumn="1" w:lastColumn="0" w:noHBand="0" w:noVBand="1"/>
      </w:tblPr>
      <w:tblGrid>
        <w:gridCol w:w="2523"/>
        <w:gridCol w:w="1262"/>
        <w:gridCol w:w="1251"/>
        <w:gridCol w:w="1251"/>
        <w:gridCol w:w="1251"/>
        <w:gridCol w:w="1251"/>
        <w:gridCol w:w="1251"/>
      </w:tblGrid>
      <w:tr w:rsidR="00CB77D3" w:rsidRPr="00CB77D3" w14:paraId="2B047F5D" w14:textId="77777777" w:rsidTr="00CB77D3">
        <w:trPr>
          <w:trHeight w:val="288"/>
        </w:trPr>
        <w:tc>
          <w:tcPr>
            <w:tcW w:w="2523" w:type="dxa"/>
            <w:tcBorders>
              <w:top w:val="nil"/>
              <w:left w:val="nil"/>
              <w:bottom w:val="nil"/>
              <w:right w:val="nil"/>
            </w:tcBorders>
            <w:shd w:val="clear" w:color="auto" w:fill="auto"/>
            <w:noWrap/>
            <w:vAlign w:val="bottom"/>
            <w:hideMark/>
          </w:tcPr>
          <w:p w14:paraId="386D4E68" w14:textId="77777777" w:rsidR="00CB77D3" w:rsidRPr="00CB77D3" w:rsidRDefault="00CB77D3" w:rsidP="00CB77D3">
            <w:pPr>
              <w:spacing w:line="240" w:lineRule="auto"/>
              <w:rPr>
                <w:rFonts w:ascii="Arial" w:eastAsia="Times New Roman" w:hAnsi="Arial" w:cs="Arial"/>
                <w:b/>
                <w:bCs/>
                <w:sz w:val="20"/>
                <w:szCs w:val="20"/>
                <w:lang w:eastAsia="de-DE"/>
              </w:rPr>
            </w:pPr>
            <w:r w:rsidRPr="00CB77D3">
              <w:rPr>
                <w:rFonts w:ascii="Arial" w:eastAsia="Times New Roman" w:hAnsi="Arial" w:cs="Arial"/>
                <w:b/>
                <w:bCs/>
                <w:sz w:val="20"/>
                <w:szCs w:val="20"/>
                <w:lang w:eastAsia="de-DE"/>
              </w:rPr>
              <w:t xml:space="preserve">1. Bilanzsumme </w:t>
            </w:r>
          </w:p>
        </w:tc>
        <w:tc>
          <w:tcPr>
            <w:tcW w:w="1262" w:type="dxa"/>
            <w:tcBorders>
              <w:top w:val="nil"/>
              <w:left w:val="nil"/>
              <w:bottom w:val="nil"/>
              <w:right w:val="nil"/>
            </w:tcBorders>
            <w:shd w:val="clear" w:color="auto" w:fill="auto"/>
            <w:noWrap/>
            <w:vAlign w:val="bottom"/>
            <w:hideMark/>
          </w:tcPr>
          <w:p w14:paraId="5465C2EC" w14:textId="77777777" w:rsidR="00CB77D3" w:rsidRPr="00CB77D3" w:rsidRDefault="00CB77D3" w:rsidP="00CB77D3">
            <w:pPr>
              <w:spacing w:line="240" w:lineRule="auto"/>
              <w:rPr>
                <w:rFonts w:ascii="Arial" w:eastAsia="Times New Roman" w:hAnsi="Arial" w:cs="Arial"/>
                <w:b/>
                <w:bCs/>
                <w:sz w:val="20"/>
                <w:szCs w:val="20"/>
                <w:lang w:eastAsia="de-DE"/>
              </w:rPr>
            </w:pPr>
          </w:p>
        </w:tc>
        <w:tc>
          <w:tcPr>
            <w:tcW w:w="1251" w:type="dxa"/>
            <w:tcBorders>
              <w:top w:val="nil"/>
              <w:left w:val="nil"/>
              <w:bottom w:val="nil"/>
              <w:right w:val="nil"/>
            </w:tcBorders>
            <w:shd w:val="clear" w:color="auto" w:fill="auto"/>
            <w:noWrap/>
            <w:vAlign w:val="bottom"/>
            <w:hideMark/>
          </w:tcPr>
          <w:p w14:paraId="5EF3BB16"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475D35A6"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5DE00868"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76AF5538"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3F654493"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r>
      <w:tr w:rsidR="00CB77D3" w:rsidRPr="00CB77D3" w14:paraId="7470D373" w14:textId="77777777" w:rsidTr="00CB77D3">
        <w:trPr>
          <w:trHeight w:val="288"/>
        </w:trPr>
        <w:tc>
          <w:tcPr>
            <w:tcW w:w="2523" w:type="dxa"/>
            <w:tcBorders>
              <w:top w:val="nil"/>
              <w:left w:val="nil"/>
              <w:bottom w:val="nil"/>
              <w:right w:val="nil"/>
            </w:tcBorders>
            <w:shd w:val="clear" w:color="auto" w:fill="auto"/>
            <w:noWrap/>
            <w:vAlign w:val="bottom"/>
            <w:hideMark/>
          </w:tcPr>
          <w:p w14:paraId="6696E2F5" w14:textId="77777777" w:rsidR="00CB77D3" w:rsidRPr="00CB77D3" w:rsidRDefault="00CB77D3" w:rsidP="00CB77D3">
            <w:pPr>
              <w:spacing w:line="240" w:lineRule="auto"/>
              <w:rPr>
                <w:rFonts w:ascii="Arial" w:eastAsia="Times New Roman" w:hAnsi="Arial" w:cs="Arial"/>
                <w:b/>
                <w:bCs/>
                <w:sz w:val="20"/>
                <w:szCs w:val="20"/>
                <w:lang w:eastAsia="de-DE"/>
              </w:rPr>
            </w:pPr>
            <w:r w:rsidRPr="00CB77D3">
              <w:rPr>
                <w:rFonts w:ascii="Arial" w:eastAsia="Times New Roman" w:hAnsi="Arial" w:cs="Arial"/>
                <w:b/>
                <w:bCs/>
                <w:sz w:val="20"/>
                <w:szCs w:val="20"/>
                <w:lang w:eastAsia="de-DE"/>
              </w:rPr>
              <w:t xml:space="preserve">2. Kreditvolumen </w:t>
            </w:r>
          </w:p>
        </w:tc>
        <w:tc>
          <w:tcPr>
            <w:tcW w:w="1262" w:type="dxa"/>
            <w:tcBorders>
              <w:top w:val="nil"/>
              <w:left w:val="nil"/>
              <w:bottom w:val="nil"/>
              <w:right w:val="nil"/>
            </w:tcBorders>
            <w:shd w:val="clear" w:color="auto" w:fill="auto"/>
            <w:noWrap/>
            <w:vAlign w:val="bottom"/>
            <w:hideMark/>
          </w:tcPr>
          <w:p w14:paraId="458DB87B" w14:textId="77777777" w:rsidR="00CB77D3" w:rsidRPr="00CB77D3" w:rsidRDefault="00CB77D3" w:rsidP="00CB77D3">
            <w:pPr>
              <w:spacing w:line="240" w:lineRule="auto"/>
              <w:rPr>
                <w:rFonts w:ascii="Arial" w:eastAsia="Times New Roman" w:hAnsi="Arial" w:cs="Arial"/>
                <w:b/>
                <w:bCs/>
                <w:sz w:val="20"/>
                <w:szCs w:val="20"/>
                <w:lang w:eastAsia="de-DE"/>
              </w:rPr>
            </w:pPr>
          </w:p>
        </w:tc>
        <w:tc>
          <w:tcPr>
            <w:tcW w:w="1251" w:type="dxa"/>
            <w:tcBorders>
              <w:top w:val="nil"/>
              <w:left w:val="nil"/>
              <w:bottom w:val="nil"/>
              <w:right w:val="nil"/>
            </w:tcBorders>
            <w:shd w:val="clear" w:color="auto" w:fill="auto"/>
            <w:noWrap/>
            <w:vAlign w:val="bottom"/>
            <w:hideMark/>
          </w:tcPr>
          <w:p w14:paraId="68EB1A9A"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1E687092"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27B356B9"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2612CE33"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3A7D4FF2"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r>
      <w:tr w:rsidR="00CB77D3" w:rsidRPr="00CB77D3" w14:paraId="2E73B6D6" w14:textId="77777777" w:rsidTr="00CB77D3">
        <w:trPr>
          <w:trHeight w:val="288"/>
        </w:trPr>
        <w:tc>
          <w:tcPr>
            <w:tcW w:w="2523" w:type="dxa"/>
            <w:tcBorders>
              <w:top w:val="nil"/>
              <w:left w:val="nil"/>
              <w:bottom w:val="nil"/>
              <w:right w:val="nil"/>
            </w:tcBorders>
            <w:shd w:val="clear" w:color="auto" w:fill="auto"/>
            <w:noWrap/>
            <w:vAlign w:val="bottom"/>
            <w:hideMark/>
          </w:tcPr>
          <w:p w14:paraId="276CC922" w14:textId="77777777" w:rsidR="00CB77D3" w:rsidRPr="00CB77D3" w:rsidRDefault="00CB77D3" w:rsidP="00CB77D3">
            <w:pPr>
              <w:spacing w:line="240" w:lineRule="auto"/>
              <w:ind w:right="-104"/>
              <w:rPr>
                <w:rFonts w:ascii="Calibri" w:eastAsia="Times New Roman" w:hAnsi="Calibri" w:cs="Calibri"/>
                <w:color w:val="000000"/>
                <w:lang w:eastAsia="de-DE"/>
              </w:rPr>
            </w:pPr>
            <w:r w:rsidRPr="00CB77D3">
              <w:rPr>
                <w:rFonts w:ascii="Calibri" w:eastAsia="Times New Roman" w:hAnsi="Calibri" w:cs="Calibri"/>
                <w:color w:val="000000"/>
                <w:lang w:eastAsia="de-DE"/>
              </w:rPr>
              <w:t>2.1 Aktivseite 2b (Wechsel)</w:t>
            </w:r>
          </w:p>
        </w:tc>
        <w:tc>
          <w:tcPr>
            <w:tcW w:w="1262" w:type="dxa"/>
            <w:tcBorders>
              <w:top w:val="nil"/>
              <w:left w:val="nil"/>
              <w:bottom w:val="nil"/>
              <w:right w:val="nil"/>
            </w:tcBorders>
            <w:shd w:val="clear" w:color="auto" w:fill="auto"/>
            <w:noWrap/>
            <w:vAlign w:val="bottom"/>
            <w:hideMark/>
          </w:tcPr>
          <w:p w14:paraId="136CD5A0" w14:textId="77777777" w:rsidR="00CB77D3" w:rsidRPr="00CB77D3" w:rsidRDefault="00CB77D3" w:rsidP="00CB77D3">
            <w:pPr>
              <w:spacing w:line="240" w:lineRule="auto"/>
              <w:rPr>
                <w:rFonts w:ascii="Calibri" w:eastAsia="Times New Roman" w:hAnsi="Calibri" w:cs="Calibri"/>
                <w:color w:val="000000"/>
                <w:lang w:eastAsia="de-DE"/>
              </w:rPr>
            </w:pPr>
          </w:p>
        </w:tc>
        <w:tc>
          <w:tcPr>
            <w:tcW w:w="1251" w:type="dxa"/>
            <w:tcBorders>
              <w:top w:val="nil"/>
              <w:left w:val="nil"/>
              <w:bottom w:val="nil"/>
              <w:right w:val="nil"/>
            </w:tcBorders>
            <w:shd w:val="clear" w:color="auto" w:fill="auto"/>
            <w:noWrap/>
            <w:vAlign w:val="bottom"/>
            <w:hideMark/>
          </w:tcPr>
          <w:p w14:paraId="514C1E69"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70378054"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1C42FCB8"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50E5EF64"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201DB349"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r>
      <w:tr w:rsidR="00CB77D3" w:rsidRPr="00CB77D3" w14:paraId="055E9F41" w14:textId="77777777" w:rsidTr="00CB77D3">
        <w:trPr>
          <w:trHeight w:val="288"/>
        </w:trPr>
        <w:tc>
          <w:tcPr>
            <w:tcW w:w="3785" w:type="dxa"/>
            <w:gridSpan w:val="2"/>
            <w:tcBorders>
              <w:top w:val="nil"/>
              <w:left w:val="nil"/>
              <w:bottom w:val="nil"/>
              <w:right w:val="nil"/>
            </w:tcBorders>
            <w:shd w:val="clear" w:color="auto" w:fill="auto"/>
            <w:noWrap/>
            <w:vAlign w:val="bottom"/>
            <w:hideMark/>
          </w:tcPr>
          <w:p w14:paraId="2839F5E0" w14:textId="66C2E32B" w:rsidR="00CB77D3" w:rsidRPr="00CB77D3" w:rsidRDefault="00CB77D3" w:rsidP="00CB77D3">
            <w:pPr>
              <w:spacing w:line="240" w:lineRule="auto"/>
              <w:ind w:right="-108"/>
              <w:rPr>
                <w:rFonts w:ascii="Calibri" w:eastAsia="Times New Roman" w:hAnsi="Calibri" w:cs="Calibri"/>
                <w:color w:val="000000"/>
                <w:lang w:eastAsia="de-DE"/>
              </w:rPr>
            </w:pPr>
            <w:r w:rsidRPr="00CB77D3">
              <w:rPr>
                <w:rFonts w:ascii="Calibri" w:eastAsia="Times New Roman" w:hAnsi="Calibri" w:cs="Calibri"/>
                <w:color w:val="000000"/>
                <w:lang w:eastAsia="de-DE"/>
              </w:rPr>
              <w:t xml:space="preserve">2.2 Aktivseite 4 (Forderungen an </w:t>
            </w:r>
            <w:r>
              <w:rPr>
                <w:rFonts w:ascii="Calibri" w:eastAsia="Times New Roman" w:hAnsi="Calibri" w:cs="Calibri"/>
                <w:color w:val="000000"/>
                <w:lang w:eastAsia="de-DE"/>
              </w:rPr>
              <w:t>K</w:t>
            </w:r>
            <w:r w:rsidRPr="00CB77D3">
              <w:rPr>
                <w:rFonts w:ascii="Arial" w:eastAsia="Times New Roman" w:hAnsi="Arial" w:cs="Arial"/>
                <w:sz w:val="20"/>
                <w:szCs w:val="20"/>
                <w:u w:val="single"/>
                <w:lang w:eastAsia="de-DE"/>
              </w:rPr>
              <w:t>unden</w:t>
            </w:r>
            <w:r w:rsidRPr="00CB77D3">
              <w:rPr>
                <w:rFonts w:ascii="Calibri" w:eastAsia="Times New Roman" w:hAnsi="Calibri" w:cs="Calibri"/>
                <w:color w:val="000000"/>
                <w:lang w:eastAsia="de-DE"/>
              </w:rPr>
              <w:t>)</w:t>
            </w:r>
          </w:p>
        </w:tc>
        <w:tc>
          <w:tcPr>
            <w:tcW w:w="1251" w:type="dxa"/>
            <w:tcBorders>
              <w:top w:val="nil"/>
              <w:left w:val="nil"/>
              <w:bottom w:val="nil"/>
              <w:right w:val="nil"/>
            </w:tcBorders>
            <w:shd w:val="clear" w:color="auto" w:fill="auto"/>
            <w:noWrap/>
            <w:vAlign w:val="bottom"/>
            <w:hideMark/>
          </w:tcPr>
          <w:p w14:paraId="529A6CD0" w14:textId="77777777" w:rsidR="00CB77D3" w:rsidRPr="00CB77D3" w:rsidRDefault="00CB77D3" w:rsidP="00CB77D3">
            <w:pPr>
              <w:spacing w:line="240" w:lineRule="auto"/>
              <w:rPr>
                <w:rFonts w:ascii="Calibri" w:eastAsia="Times New Roman" w:hAnsi="Calibri" w:cs="Calibri"/>
                <w:color w:val="000000"/>
                <w:lang w:eastAsia="de-DE"/>
              </w:rPr>
            </w:pPr>
          </w:p>
        </w:tc>
        <w:tc>
          <w:tcPr>
            <w:tcW w:w="1251" w:type="dxa"/>
            <w:tcBorders>
              <w:top w:val="nil"/>
              <w:left w:val="nil"/>
              <w:bottom w:val="nil"/>
              <w:right w:val="nil"/>
            </w:tcBorders>
            <w:shd w:val="clear" w:color="auto" w:fill="auto"/>
            <w:noWrap/>
            <w:vAlign w:val="bottom"/>
            <w:hideMark/>
          </w:tcPr>
          <w:p w14:paraId="094D4A9F"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75346E2E"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7773D24B"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3157838E"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r>
      <w:tr w:rsidR="00CB77D3" w:rsidRPr="00CB77D3" w14:paraId="67E20EB4" w14:textId="77777777" w:rsidTr="00CB77D3">
        <w:trPr>
          <w:trHeight w:val="288"/>
        </w:trPr>
        <w:tc>
          <w:tcPr>
            <w:tcW w:w="7538" w:type="dxa"/>
            <w:gridSpan w:val="5"/>
            <w:tcBorders>
              <w:top w:val="nil"/>
              <w:left w:val="nil"/>
              <w:bottom w:val="nil"/>
              <w:right w:val="nil"/>
            </w:tcBorders>
            <w:shd w:val="clear" w:color="auto" w:fill="auto"/>
            <w:noWrap/>
            <w:vAlign w:val="bottom"/>
            <w:hideMark/>
          </w:tcPr>
          <w:p w14:paraId="1A102ABA" w14:textId="77777777" w:rsidR="00CB77D3" w:rsidRPr="00CB77D3" w:rsidRDefault="00CB77D3" w:rsidP="00CB77D3">
            <w:pPr>
              <w:spacing w:line="240" w:lineRule="auto"/>
              <w:rPr>
                <w:rFonts w:ascii="Calibri" w:eastAsia="Times New Roman" w:hAnsi="Calibri" w:cs="Calibri"/>
                <w:color w:val="000000"/>
                <w:lang w:eastAsia="de-DE"/>
              </w:rPr>
            </w:pPr>
            <w:r w:rsidRPr="00CB77D3">
              <w:rPr>
                <w:rFonts w:ascii="Calibri" w:eastAsia="Times New Roman" w:hAnsi="Calibri" w:cs="Calibri"/>
                <w:color w:val="000000"/>
                <w:lang w:eastAsia="de-DE"/>
              </w:rPr>
              <w:t xml:space="preserve">2.3 Passivseite 1a (Verbindlichkeiten gegenüber </w:t>
            </w:r>
            <w:r w:rsidRPr="00CB77D3">
              <w:rPr>
                <w:rFonts w:ascii="Arial" w:eastAsia="Times New Roman" w:hAnsi="Arial" w:cs="Arial"/>
                <w:sz w:val="20"/>
                <w:szCs w:val="20"/>
                <w:u w:val="single"/>
                <w:lang w:eastAsia="de-DE"/>
              </w:rPr>
              <w:t>Kreditinstituten</w:t>
            </w:r>
            <w:r w:rsidRPr="00CB77D3">
              <w:rPr>
                <w:rFonts w:ascii="Calibri" w:eastAsia="Times New Roman" w:hAnsi="Calibri" w:cs="Calibri"/>
                <w:color w:val="000000"/>
                <w:lang w:eastAsia="de-DE"/>
              </w:rPr>
              <w:t xml:space="preserve"> - täglich fällig)</w:t>
            </w:r>
          </w:p>
        </w:tc>
        <w:tc>
          <w:tcPr>
            <w:tcW w:w="1251" w:type="dxa"/>
            <w:tcBorders>
              <w:top w:val="nil"/>
              <w:left w:val="nil"/>
              <w:bottom w:val="nil"/>
              <w:right w:val="nil"/>
            </w:tcBorders>
            <w:shd w:val="clear" w:color="auto" w:fill="auto"/>
            <w:noWrap/>
            <w:vAlign w:val="bottom"/>
            <w:hideMark/>
          </w:tcPr>
          <w:p w14:paraId="7943D831" w14:textId="77777777" w:rsidR="00CB77D3" w:rsidRPr="00CB77D3" w:rsidRDefault="00CB77D3" w:rsidP="00CB77D3">
            <w:pPr>
              <w:spacing w:line="240" w:lineRule="auto"/>
              <w:rPr>
                <w:rFonts w:ascii="Calibri" w:eastAsia="Times New Roman" w:hAnsi="Calibri" w:cs="Calibri"/>
                <w:color w:val="000000"/>
                <w:lang w:eastAsia="de-DE"/>
              </w:rPr>
            </w:pPr>
          </w:p>
        </w:tc>
        <w:tc>
          <w:tcPr>
            <w:tcW w:w="1251" w:type="dxa"/>
            <w:tcBorders>
              <w:top w:val="nil"/>
              <w:left w:val="nil"/>
              <w:bottom w:val="nil"/>
              <w:right w:val="nil"/>
            </w:tcBorders>
            <w:shd w:val="clear" w:color="auto" w:fill="auto"/>
            <w:noWrap/>
            <w:vAlign w:val="bottom"/>
            <w:hideMark/>
          </w:tcPr>
          <w:p w14:paraId="3AC9B99A" w14:textId="77777777" w:rsidR="00CB77D3" w:rsidRPr="00CB77D3" w:rsidRDefault="00CB77D3" w:rsidP="00CB77D3">
            <w:pPr>
              <w:spacing w:line="240" w:lineRule="auto"/>
              <w:rPr>
                <w:rFonts w:ascii="Times New Roman" w:eastAsia="Times New Roman" w:hAnsi="Times New Roman" w:cs="Times New Roman"/>
                <w:sz w:val="20"/>
                <w:szCs w:val="20"/>
                <w:lang w:eastAsia="de-DE"/>
              </w:rPr>
            </w:pPr>
          </w:p>
        </w:tc>
      </w:tr>
      <w:tr w:rsidR="00CB77D3" w:rsidRPr="00CB77D3" w14:paraId="495066FE" w14:textId="77777777" w:rsidTr="00CB77D3">
        <w:trPr>
          <w:trHeight w:val="288"/>
        </w:trPr>
        <w:tc>
          <w:tcPr>
            <w:tcW w:w="10040" w:type="dxa"/>
            <w:gridSpan w:val="7"/>
            <w:tcBorders>
              <w:top w:val="nil"/>
              <w:left w:val="nil"/>
              <w:bottom w:val="nil"/>
              <w:right w:val="nil"/>
            </w:tcBorders>
            <w:shd w:val="clear" w:color="auto" w:fill="auto"/>
            <w:noWrap/>
            <w:vAlign w:val="bottom"/>
            <w:hideMark/>
          </w:tcPr>
          <w:p w14:paraId="665AED59" w14:textId="77777777" w:rsidR="00CB77D3" w:rsidRPr="00CB77D3" w:rsidRDefault="00CB77D3" w:rsidP="00CB77D3">
            <w:pPr>
              <w:spacing w:line="240" w:lineRule="auto"/>
              <w:rPr>
                <w:rFonts w:ascii="Calibri" w:eastAsia="Times New Roman" w:hAnsi="Calibri" w:cs="Calibri"/>
                <w:color w:val="000000"/>
                <w:lang w:eastAsia="de-DE"/>
              </w:rPr>
            </w:pPr>
            <w:r w:rsidRPr="00CB77D3">
              <w:rPr>
                <w:rFonts w:ascii="Calibri" w:eastAsia="Times New Roman" w:hAnsi="Calibri" w:cs="Calibri"/>
                <w:color w:val="000000"/>
                <w:lang w:eastAsia="de-DE"/>
              </w:rPr>
              <w:t xml:space="preserve">2.4 Passivseite 1b (Verbindlichkeiten gegenüber </w:t>
            </w:r>
            <w:r w:rsidRPr="00CB77D3">
              <w:rPr>
                <w:rFonts w:ascii="Arial" w:eastAsia="Times New Roman" w:hAnsi="Arial" w:cs="Arial"/>
                <w:sz w:val="20"/>
                <w:szCs w:val="20"/>
                <w:u w:val="single"/>
                <w:lang w:eastAsia="de-DE"/>
              </w:rPr>
              <w:t>Kreditinstituten</w:t>
            </w:r>
            <w:r w:rsidRPr="00CB77D3">
              <w:rPr>
                <w:rFonts w:ascii="Calibri" w:eastAsia="Times New Roman" w:hAnsi="Calibri" w:cs="Calibri"/>
                <w:color w:val="000000"/>
                <w:lang w:eastAsia="de-DE"/>
              </w:rPr>
              <w:t xml:space="preserve"> - mit vereinbarter Laufzeit oder Kündigungsfrist)</w:t>
            </w:r>
          </w:p>
        </w:tc>
      </w:tr>
      <w:tr w:rsidR="00CB77D3" w:rsidRPr="00CB77D3" w14:paraId="29500794" w14:textId="77777777" w:rsidTr="00CB77D3">
        <w:trPr>
          <w:trHeight w:val="288"/>
        </w:trPr>
        <w:tc>
          <w:tcPr>
            <w:tcW w:w="6287" w:type="dxa"/>
            <w:gridSpan w:val="4"/>
            <w:tcBorders>
              <w:top w:val="nil"/>
              <w:left w:val="nil"/>
              <w:bottom w:val="nil"/>
              <w:right w:val="nil"/>
            </w:tcBorders>
            <w:shd w:val="clear" w:color="auto" w:fill="auto"/>
            <w:noWrap/>
            <w:vAlign w:val="bottom"/>
            <w:hideMark/>
          </w:tcPr>
          <w:p w14:paraId="2C8BFB30" w14:textId="594BA594" w:rsidR="002607C5" w:rsidRPr="006275DC" w:rsidRDefault="006275DC" w:rsidP="006275DC">
            <w:pPr>
              <w:spacing w:line="240" w:lineRule="auto"/>
              <w:rPr>
                <w:rFonts w:ascii="Arial" w:eastAsia="Times New Roman" w:hAnsi="Arial" w:cs="Arial"/>
                <w:b/>
                <w:bCs/>
                <w:i/>
                <w:iCs/>
                <w:sz w:val="20"/>
                <w:szCs w:val="20"/>
                <w:lang w:eastAsia="de-DE"/>
              </w:rPr>
            </w:pPr>
            <w:r w:rsidRPr="006275DC">
              <w:rPr>
                <w:rFonts w:ascii="Arial" w:eastAsia="Times New Roman" w:hAnsi="Arial" w:cs="Arial"/>
                <w:b/>
                <w:bCs/>
                <w:i/>
                <w:iCs/>
                <w:sz w:val="20"/>
                <w:szCs w:val="20"/>
                <w:lang w:eastAsia="de-DE"/>
              </w:rPr>
              <w:t>3.</w:t>
            </w:r>
            <w:r>
              <w:rPr>
                <w:rFonts w:ascii="Arial" w:eastAsia="Times New Roman" w:hAnsi="Arial" w:cs="Arial"/>
                <w:b/>
                <w:bCs/>
                <w:i/>
                <w:iCs/>
                <w:sz w:val="20"/>
                <w:szCs w:val="20"/>
                <w:lang w:eastAsia="de-DE"/>
              </w:rPr>
              <w:t xml:space="preserve"> </w:t>
            </w:r>
            <w:r w:rsidR="00CB77D3" w:rsidRPr="006275DC">
              <w:rPr>
                <w:rFonts w:ascii="Arial" w:eastAsia="Times New Roman" w:hAnsi="Arial" w:cs="Arial"/>
                <w:b/>
                <w:bCs/>
                <w:i/>
                <w:iCs/>
                <w:sz w:val="20"/>
                <w:szCs w:val="20"/>
                <w:lang w:eastAsia="de-DE"/>
              </w:rPr>
              <w:t xml:space="preserve">Steuerkurswert der Kundenwertpapiere (Depot B) </w:t>
            </w:r>
          </w:p>
        </w:tc>
        <w:tc>
          <w:tcPr>
            <w:tcW w:w="1251" w:type="dxa"/>
            <w:tcBorders>
              <w:top w:val="nil"/>
              <w:left w:val="nil"/>
              <w:bottom w:val="nil"/>
              <w:right w:val="nil"/>
            </w:tcBorders>
            <w:shd w:val="clear" w:color="auto" w:fill="auto"/>
            <w:noWrap/>
            <w:vAlign w:val="bottom"/>
            <w:hideMark/>
          </w:tcPr>
          <w:p w14:paraId="11301CE8" w14:textId="77777777" w:rsidR="00CB77D3" w:rsidRPr="00CB77D3" w:rsidRDefault="00CB77D3" w:rsidP="00CB77D3">
            <w:pPr>
              <w:spacing w:line="240" w:lineRule="auto"/>
              <w:rPr>
                <w:rFonts w:ascii="Arial" w:eastAsia="Times New Roman" w:hAnsi="Arial" w:cs="Arial"/>
                <w:b/>
                <w:bCs/>
                <w:i/>
                <w:iCs/>
                <w:sz w:val="20"/>
                <w:szCs w:val="20"/>
                <w:lang w:eastAsia="de-DE"/>
              </w:rPr>
            </w:pPr>
          </w:p>
        </w:tc>
        <w:tc>
          <w:tcPr>
            <w:tcW w:w="1251" w:type="dxa"/>
            <w:tcBorders>
              <w:top w:val="nil"/>
              <w:left w:val="nil"/>
              <w:bottom w:val="nil"/>
              <w:right w:val="nil"/>
            </w:tcBorders>
            <w:shd w:val="clear" w:color="auto" w:fill="auto"/>
            <w:noWrap/>
            <w:vAlign w:val="bottom"/>
            <w:hideMark/>
          </w:tcPr>
          <w:p w14:paraId="7DD1BA28" w14:textId="77777777" w:rsidR="00CB77D3" w:rsidRPr="00CB77D3" w:rsidRDefault="00CB77D3" w:rsidP="00CB77D3">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71DF947A" w14:textId="77777777" w:rsidR="00CB77D3" w:rsidRPr="00CB77D3" w:rsidRDefault="00CB77D3" w:rsidP="00CB77D3">
            <w:pPr>
              <w:spacing w:line="240" w:lineRule="auto"/>
              <w:rPr>
                <w:rFonts w:ascii="Times New Roman" w:eastAsia="Times New Roman" w:hAnsi="Times New Roman" w:cs="Times New Roman"/>
                <w:i/>
                <w:iCs/>
                <w:sz w:val="20"/>
                <w:szCs w:val="20"/>
                <w:lang w:eastAsia="de-DE"/>
              </w:rPr>
            </w:pPr>
          </w:p>
        </w:tc>
      </w:tr>
    </w:tbl>
    <w:p w14:paraId="3AB29D42" w14:textId="77777777" w:rsidR="006275DC" w:rsidRPr="0002434C" w:rsidRDefault="006275DC" w:rsidP="007052A8">
      <w:pPr>
        <w:rPr>
          <w:sz w:val="16"/>
          <w:szCs w:val="16"/>
        </w:rPr>
      </w:pPr>
    </w:p>
    <w:p w14:paraId="50DB82FA" w14:textId="032BC99C" w:rsidR="002607C5" w:rsidRDefault="002607C5" w:rsidP="007052A8">
      <w:pPr>
        <w:rPr>
          <w:sz w:val="24"/>
          <w:szCs w:val="24"/>
        </w:rPr>
      </w:pPr>
      <w:r>
        <w:rPr>
          <w:sz w:val="24"/>
          <w:szCs w:val="24"/>
        </w:rPr>
        <w:t>Die Werte konnten alle der Bilanz entnommen werden mit Ausnahme von 3. (</w:t>
      </w:r>
      <w:r w:rsidR="006275DC">
        <w:rPr>
          <w:sz w:val="24"/>
          <w:szCs w:val="24"/>
        </w:rPr>
        <w:t>Depot B)</w:t>
      </w:r>
      <w:r>
        <w:rPr>
          <w:sz w:val="24"/>
          <w:szCs w:val="24"/>
        </w:rPr>
        <w:t>. Selbst Anfragen über den Bayerischen Landtag brachten keine Klärung</w:t>
      </w:r>
      <w:r w:rsidR="006275DC">
        <w:rPr>
          <w:sz w:val="24"/>
          <w:szCs w:val="24"/>
        </w:rPr>
        <w:t xml:space="preserve"> zur Höhe</w:t>
      </w:r>
      <w:r>
        <w:rPr>
          <w:sz w:val="24"/>
          <w:szCs w:val="24"/>
        </w:rPr>
        <w:t>.</w:t>
      </w:r>
    </w:p>
    <w:p w14:paraId="6B991344" w14:textId="6A850219" w:rsidR="002607C5" w:rsidRDefault="002607C5" w:rsidP="007052A8">
      <w:pPr>
        <w:rPr>
          <w:sz w:val="24"/>
          <w:szCs w:val="24"/>
        </w:rPr>
      </w:pPr>
    </w:p>
    <w:p w14:paraId="0BAE7697" w14:textId="2F960F68" w:rsidR="002607C5" w:rsidRDefault="00DB3D5D" w:rsidP="007052A8">
      <w:pPr>
        <w:rPr>
          <w:sz w:val="24"/>
          <w:szCs w:val="24"/>
        </w:rPr>
      </w:pPr>
      <w:r>
        <w:rPr>
          <w:sz w:val="24"/>
          <w:szCs w:val="24"/>
        </w:rPr>
        <w:t>Die</w:t>
      </w:r>
      <w:r w:rsidR="006275DC">
        <w:rPr>
          <w:sz w:val="24"/>
          <w:szCs w:val="24"/>
        </w:rPr>
        <w:t xml:space="preserve"> so ermittelte</w:t>
      </w:r>
      <w:r>
        <w:rPr>
          <w:sz w:val="24"/>
          <w:szCs w:val="24"/>
        </w:rPr>
        <w:t xml:space="preserve"> Bemessungsgrundlage fiel in eine von drei Größenklassen, aus der sich dann das </w:t>
      </w:r>
      <w:r w:rsidRPr="006275DC">
        <w:rPr>
          <w:sz w:val="24"/>
          <w:szCs w:val="24"/>
          <w:u w:val="single"/>
        </w:rPr>
        <w:t>Basisgehalt</w:t>
      </w:r>
      <w:r>
        <w:rPr>
          <w:sz w:val="24"/>
          <w:szCs w:val="24"/>
        </w:rPr>
        <w:t xml:space="preserve"> ergab.</w:t>
      </w:r>
      <w:r w:rsidR="002607C5">
        <w:rPr>
          <w:sz w:val="24"/>
          <w:szCs w:val="24"/>
        </w:rPr>
        <w:t xml:space="preserve"> </w:t>
      </w:r>
    </w:p>
    <w:p w14:paraId="253B60A0" w14:textId="3A203EF5" w:rsidR="002607C5" w:rsidRDefault="002607C5" w:rsidP="007052A8">
      <w:pPr>
        <w:rPr>
          <w:sz w:val="24"/>
          <w:szCs w:val="24"/>
        </w:rPr>
      </w:pPr>
      <w:r>
        <w:rPr>
          <w:sz w:val="24"/>
          <w:szCs w:val="24"/>
        </w:rPr>
        <w:t>Zu diese</w:t>
      </w:r>
      <w:r w:rsidR="00DB3D5D">
        <w:rPr>
          <w:sz w:val="24"/>
          <w:szCs w:val="24"/>
        </w:rPr>
        <w:t>m</w:t>
      </w:r>
      <w:r>
        <w:rPr>
          <w:sz w:val="24"/>
          <w:szCs w:val="24"/>
        </w:rPr>
        <w:t xml:space="preserve"> B</w:t>
      </w:r>
      <w:r w:rsidR="00DB3D5D">
        <w:rPr>
          <w:sz w:val="24"/>
          <w:szCs w:val="24"/>
        </w:rPr>
        <w:t xml:space="preserve">asisgehalt </w:t>
      </w:r>
      <w:r>
        <w:rPr>
          <w:sz w:val="24"/>
          <w:szCs w:val="24"/>
        </w:rPr>
        <w:t xml:space="preserve">gab es </w:t>
      </w:r>
      <w:r w:rsidRPr="006275DC">
        <w:rPr>
          <w:sz w:val="24"/>
          <w:szCs w:val="24"/>
          <w:u w:val="single"/>
        </w:rPr>
        <w:t>prozentuale Zuschläge</w:t>
      </w:r>
      <w:r w:rsidR="00DB3D5D">
        <w:rPr>
          <w:sz w:val="24"/>
          <w:szCs w:val="24"/>
        </w:rPr>
        <w:t xml:space="preserve"> (Die weiteren Vorstandsmitglieder erhielten jeweils die Hälfte):</w:t>
      </w:r>
    </w:p>
    <w:p w14:paraId="685F5683" w14:textId="1552A074" w:rsidR="00DB3D5D" w:rsidRPr="00DB3D5D" w:rsidRDefault="00DB3D5D" w:rsidP="00DB3D5D">
      <w:pPr>
        <w:pStyle w:val="Listenabsatz"/>
        <w:numPr>
          <w:ilvl w:val="0"/>
          <w:numId w:val="5"/>
        </w:numPr>
        <w:rPr>
          <w:sz w:val="24"/>
          <w:szCs w:val="24"/>
        </w:rPr>
      </w:pPr>
      <w:r w:rsidRPr="00DB3D5D">
        <w:rPr>
          <w:sz w:val="24"/>
          <w:szCs w:val="24"/>
        </w:rPr>
        <w:t>Allgemeine Zulage</w:t>
      </w:r>
    </w:p>
    <w:p w14:paraId="1DE24401" w14:textId="02440B4E" w:rsidR="00DB3D5D" w:rsidRPr="00DB3D5D" w:rsidRDefault="00DB3D5D" w:rsidP="00DB3D5D">
      <w:pPr>
        <w:pStyle w:val="Listenabsatz"/>
        <w:numPr>
          <w:ilvl w:val="0"/>
          <w:numId w:val="5"/>
        </w:numPr>
        <w:rPr>
          <w:sz w:val="24"/>
          <w:szCs w:val="24"/>
        </w:rPr>
      </w:pPr>
      <w:r w:rsidRPr="00DB3D5D">
        <w:rPr>
          <w:sz w:val="24"/>
          <w:szCs w:val="24"/>
        </w:rPr>
        <w:t>Sonderzahlung</w:t>
      </w:r>
    </w:p>
    <w:p w14:paraId="07725B06" w14:textId="4A4180A4" w:rsidR="00DB3D5D" w:rsidRPr="00DB3D5D" w:rsidRDefault="00DB3D5D" w:rsidP="00DB3D5D">
      <w:pPr>
        <w:pStyle w:val="Listenabsatz"/>
        <w:numPr>
          <w:ilvl w:val="0"/>
          <w:numId w:val="5"/>
        </w:numPr>
        <w:rPr>
          <w:sz w:val="24"/>
          <w:szCs w:val="24"/>
        </w:rPr>
      </w:pPr>
      <w:r w:rsidRPr="00DB3D5D">
        <w:rPr>
          <w:sz w:val="24"/>
          <w:szCs w:val="24"/>
        </w:rPr>
        <w:t>Dienstaufwandsentschädigung</w:t>
      </w:r>
    </w:p>
    <w:p w14:paraId="4DF0EB8B" w14:textId="6F94F43B" w:rsidR="00DB3D5D" w:rsidRPr="00DB3D5D" w:rsidRDefault="00DB3D5D" w:rsidP="00DB3D5D">
      <w:pPr>
        <w:pStyle w:val="Listenabsatz"/>
        <w:numPr>
          <w:ilvl w:val="0"/>
          <w:numId w:val="5"/>
        </w:numPr>
        <w:rPr>
          <w:sz w:val="24"/>
          <w:szCs w:val="24"/>
        </w:rPr>
      </w:pPr>
      <w:r w:rsidRPr="00DB3D5D">
        <w:rPr>
          <w:sz w:val="24"/>
          <w:szCs w:val="24"/>
        </w:rPr>
        <w:t xml:space="preserve">Leistungen der Verbundpartner </w:t>
      </w:r>
    </w:p>
    <w:p w14:paraId="1D463749" w14:textId="29C3B5B4" w:rsidR="002607C5" w:rsidRPr="0002434C" w:rsidRDefault="002607C5" w:rsidP="007052A8">
      <w:pPr>
        <w:rPr>
          <w:sz w:val="16"/>
          <w:szCs w:val="16"/>
        </w:rPr>
      </w:pPr>
    </w:p>
    <w:p w14:paraId="62CB5CD0" w14:textId="0A102E95" w:rsidR="00B72810" w:rsidRPr="006275DC" w:rsidRDefault="002607C5" w:rsidP="007052A8">
      <w:pPr>
        <w:rPr>
          <w:b/>
          <w:bCs/>
          <w:sz w:val="24"/>
          <w:szCs w:val="24"/>
        </w:rPr>
      </w:pPr>
      <w:r w:rsidRPr="006275DC">
        <w:rPr>
          <w:b/>
          <w:bCs/>
          <w:sz w:val="24"/>
          <w:szCs w:val="24"/>
        </w:rPr>
        <w:t xml:space="preserve">Mit Wirkung vom 1.1.2019 wurden die Richtlinien neu gefasst. </w:t>
      </w:r>
      <w:r w:rsidR="006275DC" w:rsidRPr="006275DC">
        <w:rPr>
          <w:b/>
          <w:bCs/>
          <w:sz w:val="24"/>
          <w:szCs w:val="24"/>
        </w:rPr>
        <w:t xml:space="preserve">Jetzt wird die </w:t>
      </w:r>
      <w:r w:rsidR="006275DC" w:rsidRPr="00CC72FD">
        <w:rPr>
          <w:b/>
          <w:bCs/>
          <w:sz w:val="24"/>
          <w:szCs w:val="24"/>
          <w:u w:val="single"/>
        </w:rPr>
        <w:t xml:space="preserve">Bemessungsgrundlage </w:t>
      </w:r>
      <w:r w:rsidR="006275DC" w:rsidRPr="006275DC">
        <w:rPr>
          <w:b/>
          <w:bCs/>
          <w:sz w:val="24"/>
          <w:szCs w:val="24"/>
        </w:rPr>
        <w:t>ermittelt aus folgenden Positionen:</w:t>
      </w:r>
    </w:p>
    <w:tbl>
      <w:tblPr>
        <w:tblW w:w="8849" w:type="dxa"/>
        <w:tblCellMar>
          <w:left w:w="70" w:type="dxa"/>
          <w:right w:w="70" w:type="dxa"/>
        </w:tblCellMar>
        <w:tblLook w:val="04A0" w:firstRow="1" w:lastRow="0" w:firstColumn="1" w:lastColumn="0" w:noHBand="0" w:noVBand="1"/>
      </w:tblPr>
      <w:tblGrid>
        <w:gridCol w:w="3699"/>
        <w:gridCol w:w="146"/>
        <w:gridCol w:w="1251"/>
        <w:gridCol w:w="1251"/>
        <w:gridCol w:w="1251"/>
        <w:gridCol w:w="1251"/>
      </w:tblGrid>
      <w:tr w:rsidR="006275DC" w:rsidRPr="006275DC" w14:paraId="66046004" w14:textId="77777777" w:rsidTr="006275DC">
        <w:trPr>
          <w:trHeight w:val="288"/>
        </w:trPr>
        <w:tc>
          <w:tcPr>
            <w:tcW w:w="3845" w:type="dxa"/>
            <w:gridSpan w:val="2"/>
            <w:tcBorders>
              <w:top w:val="nil"/>
              <w:left w:val="nil"/>
              <w:bottom w:val="nil"/>
              <w:right w:val="nil"/>
            </w:tcBorders>
            <w:shd w:val="clear" w:color="auto" w:fill="auto"/>
            <w:noWrap/>
            <w:vAlign w:val="bottom"/>
            <w:hideMark/>
          </w:tcPr>
          <w:p w14:paraId="48985A9C" w14:textId="77777777" w:rsidR="006275DC" w:rsidRPr="006275DC" w:rsidRDefault="006275DC" w:rsidP="006275DC">
            <w:pPr>
              <w:spacing w:line="240" w:lineRule="auto"/>
              <w:rPr>
                <w:rFonts w:ascii="Arial" w:eastAsia="Times New Roman" w:hAnsi="Arial" w:cs="Arial"/>
                <w:b/>
                <w:bCs/>
                <w:sz w:val="20"/>
                <w:szCs w:val="20"/>
                <w:lang w:eastAsia="de-DE"/>
              </w:rPr>
            </w:pPr>
            <w:r w:rsidRPr="006275DC">
              <w:rPr>
                <w:rFonts w:ascii="Arial" w:eastAsia="Times New Roman" w:hAnsi="Arial" w:cs="Arial"/>
                <w:b/>
                <w:bCs/>
                <w:sz w:val="20"/>
                <w:szCs w:val="20"/>
                <w:lang w:eastAsia="de-DE"/>
              </w:rPr>
              <w:t>1. Bilanzielles Kundengeschäft</w:t>
            </w:r>
          </w:p>
        </w:tc>
        <w:tc>
          <w:tcPr>
            <w:tcW w:w="1251" w:type="dxa"/>
            <w:tcBorders>
              <w:top w:val="nil"/>
              <w:left w:val="nil"/>
              <w:bottom w:val="nil"/>
              <w:right w:val="nil"/>
            </w:tcBorders>
            <w:shd w:val="clear" w:color="auto" w:fill="auto"/>
            <w:noWrap/>
            <w:vAlign w:val="bottom"/>
            <w:hideMark/>
          </w:tcPr>
          <w:p w14:paraId="17D8F0A2" w14:textId="77777777" w:rsidR="006275DC" w:rsidRPr="006275DC" w:rsidRDefault="006275DC" w:rsidP="006275DC">
            <w:pPr>
              <w:spacing w:line="240" w:lineRule="auto"/>
              <w:rPr>
                <w:rFonts w:ascii="Arial" w:eastAsia="Times New Roman" w:hAnsi="Arial" w:cs="Arial"/>
                <w:b/>
                <w:bCs/>
                <w:sz w:val="20"/>
                <w:szCs w:val="20"/>
                <w:lang w:eastAsia="de-DE"/>
              </w:rPr>
            </w:pPr>
          </w:p>
        </w:tc>
        <w:tc>
          <w:tcPr>
            <w:tcW w:w="1251" w:type="dxa"/>
            <w:tcBorders>
              <w:top w:val="nil"/>
              <w:left w:val="nil"/>
              <w:bottom w:val="nil"/>
              <w:right w:val="nil"/>
            </w:tcBorders>
            <w:shd w:val="clear" w:color="auto" w:fill="auto"/>
            <w:noWrap/>
            <w:vAlign w:val="bottom"/>
            <w:hideMark/>
          </w:tcPr>
          <w:p w14:paraId="78944825"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6BA0B6B7"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0F8E6D50"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07018510" w14:textId="77777777" w:rsidTr="006275DC">
        <w:trPr>
          <w:trHeight w:val="288"/>
        </w:trPr>
        <w:tc>
          <w:tcPr>
            <w:tcW w:w="3845" w:type="dxa"/>
            <w:gridSpan w:val="2"/>
            <w:tcBorders>
              <w:top w:val="nil"/>
              <w:left w:val="nil"/>
              <w:bottom w:val="nil"/>
              <w:right w:val="nil"/>
            </w:tcBorders>
            <w:shd w:val="clear" w:color="auto" w:fill="auto"/>
            <w:noWrap/>
            <w:vAlign w:val="bottom"/>
            <w:hideMark/>
          </w:tcPr>
          <w:p w14:paraId="50E45E02" w14:textId="77777777" w:rsidR="006275DC" w:rsidRPr="006275DC" w:rsidRDefault="006275DC" w:rsidP="006275DC">
            <w:pPr>
              <w:spacing w:line="240" w:lineRule="auto"/>
              <w:rPr>
                <w:rFonts w:ascii="Calibri" w:eastAsia="Times New Roman" w:hAnsi="Calibri" w:cs="Calibri"/>
                <w:color w:val="000000"/>
                <w:lang w:eastAsia="de-DE"/>
              </w:rPr>
            </w:pPr>
            <w:r w:rsidRPr="006275DC">
              <w:rPr>
                <w:rFonts w:ascii="Calibri" w:eastAsia="Times New Roman" w:hAnsi="Calibri" w:cs="Calibri"/>
                <w:color w:val="000000"/>
                <w:lang w:eastAsia="de-DE"/>
              </w:rPr>
              <w:t xml:space="preserve">Aktiva 4 (Forderungen an </w:t>
            </w:r>
            <w:r w:rsidRPr="006275DC">
              <w:rPr>
                <w:rFonts w:ascii="Arial" w:eastAsia="Times New Roman" w:hAnsi="Arial" w:cs="Arial"/>
                <w:sz w:val="20"/>
                <w:szCs w:val="20"/>
                <w:u w:val="single"/>
                <w:lang w:eastAsia="de-DE"/>
              </w:rPr>
              <w:t>Kunden</w:t>
            </w:r>
            <w:r w:rsidRPr="006275DC">
              <w:rPr>
                <w:rFonts w:ascii="Calibri" w:eastAsia="Times New Roman" w:hAnsi="Calibri" w:cs="Calibri"/>
                <w:color w:val="000000"/>
                <w:lang w:eastAsia="de-DE"/>
              </w:rPr>
              <w:t>)</w:t>
            </w:r>
          </w:p>
        </w:tc>
        <w:tc>
          <w:tcPr>
            <w:tcW w:w="1251" w:type="dxa"/>
            <w:tcBorders>
              <w:top w:val="nil"/>
              <w:left w:val="nil"/>
              <w:bottom w:val="nil"/>
              <w:right w:val="nil"/>
            </w:tcBorders>
            <w:shd w:val="clear" w:color="auto" w:fill="auto"/>
            <w:noWrap/>
            <w:vAlign w:val="bottom"/>
            <w:hideMark/>
          </w:tcPr>
          <w:p w14:paraId="63F7436C" w14:textId="77777777" w:rsidR="006275DC" w:rsidRPr="006275DC" w:rsidRDefault="006275DC" w:rsidP="006275DC">
            <w:pPr>
              <w:spacing w:line="240" w:lineRule="auto"/>
              <w:rPr>
                <w:rFonts w:ascii="Calibri" w:eastAsia="Times New Roman" w:hAnsi="Calibri" w:cs="Calibri"/>
                <w:color w:val="000000"/>
                <w:lang w:eastAsia="de-DE"/>
              </w:rPr>
            </w:pPr>
          </w:p>
        </w:tc>
        <w:tc>
          <w:tcPr>
            <w:tcW w:w="1251" w:type="dxa"/>
            <w:tcBorders>
              <w:top w:val="nil"/>
              <w:left w:val="nil"/>
              <w:bottom w:val="nil"/>
              <w:right w:val="nil"/>
            </w:tcBorders>
            <w:shd w:val="clear" w:color="auto" w:fill="auto"/>
            <w:noWrap/>
            <w:vAlign w:val="bottom"/>
            <w:hideMark/>
          </w:tcPr>
          <w:p w14:paraId="1FE27821"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4E27410F"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52F7C9B2"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3C905D7A" w14:textId="77777777" w:rsidTr="006275DC">
        <w:trPr>
          <w:trHeight w:val="288"/>
        </w:trPr>
        <w:tc>
          <w:tcPr>
            <w:tcW w:w="5096" w:type="dxa"/>
            <w:gridSpan w:val="3"/>
            <w:tcBorders>
              <w:top w:val="nil"/>
              <w:left w:val="nil"/>
              <w:bottom w:val="nil"/>
              <w:right w:val="nil"/>
            </w:tcBorders>
            <w:shd w:val="clear" w:color="auto" w:fill="auto"/>
            <w:noWrap/>
            <w:vAlign w:val="bottom"/>
            <w:hideMark/>
          </w:tcPr>
          <w:p w14:paraId="605A70A8" w14:textId="77777777" w:rsidR="006275DC" w:rsidRPr="006275DC" w:rsidRDefault="006275DC" w:rsidP="006275DC">
            <w:pPr>
              <w:spacing w:line="240" w:lineRule="auto"/>
              <w:rPr>
                <w:rFonts w:ascii="Arial" w:eastAsia="Times New Roman" w:hAnsi="Arial" w:cs="Arial"/>
                <w:sz w:val="20"/>
                <w:szCs w:val="20"/>
                <w:lang w:eastAsia="de-DE"/>
              </w:rPr>
            </w:pPr>
            <w:r w:rsidRPr="006275DC">
              <w:rPr>
                <w:rFonts w:ascii="Arial" w:eastAsia="Times New Roman" w:hAnsi="Arial" w:cs="Arial"/>
                <w:sz w:val="20"/>
                <w:szCs w:val="20"/>
                <w:lang w:eastAsia="de-DE"/>
              </w:rPr>
              <w:t>Passiva 2 (Verbindlichkeiten gegenüber Kunden)</w:t>
            </w:r>
          </w:p>
        </w:tc>
        <w:tc>
          <w:tcPr>
            <w:tcW w:w="1251" w:type="dxa"/>
            <w:tcBorders>
              <w:top w:val="nil"/>
              <w:left w:val="nil"/>
              <w:bottom w:val="nil"/>
              <w:right w:val="nil"/>
            </w:tcBorders>
            <w:shd w:val="clear" w:color="auto" w:fill="auto"/>
            <w:noWrap/>
            <w:vAlign w:val="bottom"/>
            <w:hideMark/>
          </w:tcPr>
          <w:p w14:paraId="08A0BF91" w14:textId="77777777" w:rsidR="006275DC" w:rsidRPr="006275DC" w:rsidRDefault="006275DC" w:rsidP="006275DC">
            <w:pPr>
              <w:spacing w:line="240" w:lineRule="auto"/>
              <w:rPr>
                <w:rFonts w:ascii="Arial" w:eastAsia="Times New Roman" w:hAnsi="Arial" w:cs="Arial"/>
                <w:sz w:val="20"/>
                <w:szCs w:val="20"/>
                <w:lang w:eastAsia="de-DE"/>
              </w:rPr>
            </w:pPr>
          </w:p>
        </w:tc>
        <w:tc>
          <w:tcPr>
            <w:tcW w:w="1251" w:type="dxa"/>
            <w:tcBorders>
              <w:top w:val="nil"/>
              <w:left w:val="nil"/>
              <w:bottom w:val="nil"/>
              <w:right w:val="nil"/>
            </w:tcBorders>
            <w:shd w:val="clear" w:color="auto" w:fill="auto"/>
            <w:noWrap/>
            <w:vAlign w:val="bottom"/>
            <w:hideMark/>
          </w:tcPr>
          <w:p w14:paraId="19E1CBAF"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064FC049"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512859C7" w14:textId="77777777" w:rsidTr="006275DC">
        <w:trPr>
          <w:trHeight w:val="288"/>
        </w:trPr>
        <w:tc>
          <w:tcPr>
            <w:tcW w:w="6347" w:type="dxa"/>
            <w:gridSpan w:val="4"/>
            <w:tcBorders>
              <w:top w:val="nil"/>
              <w:left w:val="nil"/>
              <w:bottom w:val="nil"/>
              <w:right w:val="nil"/>
            </w:tcBorders>
            <w:shd w:val="clear" w:color="auto" w:fill="auto"/>
            <w:noWrap/>
            <w:vAlign w:val="bottom"/>
            <w:hideMark/>
          </w:tcPr>
          <w:p w14:paraId="095EEA90" w14:textId="77777777" w:rsidR="006275DC" w:rsidRPr="006275DC" w:rsidRDefault="006275DC" w:rsidP="006275DC">
            <w:pPr>
              <w:spacing w:line="240" w:lineRule="auto"/>
              <w:rPr>
                <w:rFonts w:ascii="Arial" w:eastAsia="Times New Roman" w:hAnsi="Arial" w:cs="Arial"/>
                <w:sz w:val="20"/>
                <w:szCs w:val="20"/>
                <w:lang w:eastAsia="de-DE"/>
              </w:rPr>
            </w:pPr>
            <w:r w:rsidRPr="006275DC">
              <w:rPr>
                <w:rFonts w:ascii="Arial" w:eastAsia="Times New Roman" w:hAnsi="Arial" w:cs="Arial"/>
                <w:sz w:val="20"/>
                <w:szCs w:val="20"/>
                <w:lang w:eastAsia="de-DE"/>
              </w:rPr>
              <w:t>Passiva 3 (Verbriefte Verbindlichkeiten gegenüber Kunden)</w:t>
            </w:r>
          </w:p>
        </w:tc>
        <w:tc>
          <w:tcPr>
            <w:tcW w:w="1251" w:type="dxa"/>
            <w:tcBorders>
              <w:top w:val="nil"/>
              <w:left w:val="nil"/>
              <w:bottom w:val="nil"/>
              <w:right w:val="nil"/>
            </w:tcBorders>
            <w:shd w:val="clear" w:color="auto" w:fill="auto"/>
            <w:noWrap/>
            <w:vAlign w:val="bottom"/>
            <w:hideMark/>
          </w:tcPr>
          <w:p w14:paraId="1959569B" w14:textId="77777777" w:rsidR="006275DC" w:rsidRPr="006275DC" w:rsidRDefault="006275DC" w:rsidP="006275DC">
            <w:pPr>
              <w:spacing w:line="240" w:lineRule="auto"/>
              <w:rPr>
                <w:rFonts w:ascii="Arial" w:eastAsia="Times New Roman" w:hAnsi="Arial" w:cs="Arial"/>
                <w:sz w:val="20"/>
                <w:szCs w:val="20"/>
                <w:lang w:eastAsia="de-DE"/>
              </w:rPr>
            </w:pPr>
          </w:p>
        </w:tc>
        <w:tc>
          <w:tcPr>
            <w:tcW w:w="1251" w:type="dxa"/>
            <w:tcBorders>
              <w:top w:val="nil"/>
              <w:left w:val="nil"/>
              <w:bottom w:val="nil"/>
              <w:right w:val="nil"/>
            </w:tcBorders>
            <w:shd w:val="clear" w:color="auto" w:fill="auto"/>
            <w:noWrap/>
            <w:vAlign w:val="bottom"/>
            <w:hideMark/>
          </w:tcPr>
          <w:p w14:paraId="135C25F1"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3A99AEB6" w14:textId="77777777" w:rsidTr="006275DC">
        <w:trPr>
          <w:trHeight w:val="288"/>
        </w:trPr>
        <w:tc>
          <w:tcPr>
            <w:tcW w:w="8849" w:type="dxa"/>
            <w:gridSpan w:val="6"/>
            <w:tcBorders>
              <w:top w:val="nil"/>
              <w:left w:val="nil"/>
              <w:bottom w:val="nil"/>
              <w:right w:val="nil"/>
            </w:tcBorders>
            <w:shd w:val="clear" w:color="auto" w:fill="auto"/>
            <w:noWrap/>
            <w:vAlign w:val="bottom"/>
            <w:hideMark/>
          </w:tcPr>
          <w:p w14:paraId="14090F39" w14:textId="77777777" w:rsidR="006275DC" w:rsidRPr="006275DC" w:rsidRDefault="006275DC" w:rsidP="006275DC">
            <w:pPr>
              <w:spacing w:line="240" w:lineRule="auto"/>
              <w:rPr>
                <w:rFonts w:ascii="Arial" w:eastAsia="Times New Roman" w:hAnsi="Arial" w:cs="Arial"/>
                <w:sz w:val="20"/>
                <w:szCs w:val="20"/>
                <w:lang w:eastAsia="de-DE"/>
              </w:rPr>
            </w:pPr>
            <w:r w:rsidRPr="006275DC">
              <w:rPr>
                <w:rFonts w:ascii="Arial" w:eastAsia="Times New Roman" w:hAnsi="Arial" w:cs="Arial"/>
                <w:sz w:val="20"/>
                <w:szCs w:val="20"/>
                <w:lang w:eastAsia="de-DE"/>
              </w:rPr>
              <w:t>Passiva 1b (Eventualverbindlichkeiten aus Bürgschaften und Gewährleistungsverträgen)</w:t>
            </w:r>
          </w:p>
        </w:tc>
      </w:tr>
      <w:tr w:rsidR="006275DC" w:rsidRPr="006275DC" w14:paraId="07B3ECCD" w14:textId="77777777" w:rsidTr="006275DC">
        <w:trPr>
          <w:trHeight w:val="288"/>
        </w:trPr>
        <w:tc>
          <w:tcPr>
            <w:tcW w:w="3699" w:type="dxa"/>
            <w:tcBorders>
              <w:top w:val="nil"/>
              <w:left w:val="nil"/>
              <w:bottom w:val="nil"/>
              <w:right w:val="nil"/>
            </w:tcBorders>
            <w:shd w:val="clear" w:color="auto" w:fill="auto"/>
            <w:noWrap/>
            <w:vAlign w:val="bottom"/>
            <w:hideMark/>
          </w:tcPr>
          <w:p w14:paraId="34D04E04" w14:textId="77777777" w:rsidR="006275DC" w:rsidRPr="006275DC" w:rsidRDefault="006275DC" w:rsidP="006275DC">
            <w:pPr>
              <w:spacing w:line="240" w:lineRule="auto"/>
              <w:rPr>
                <w:rFonts w:ascii="Arial" w:eastAsia="Times New Roman" w:hAnsi="Arial" w:cs="Arial"/>
                <w:b/>
                <w:bCs/>
                <w:sz w:val="20"/>
                <w:szCs w:val="20"/>
                <w:lang w:eastAsia="de-DE"/>
              </w:rPr>
            </w:pPr>
            <w:r w:rsidRPr="006275DC">
              <w:rPr>
                <w:rFonts w:ascii="Arial" w:eastAsia="Times New Roman" w:hAnsi="Arial" w:cs="Arial"/>
                <w:b/>
                <w:bCs/>
                <w:sz w:val="20"/>
                <w:szCs w:val="20"/>
                <w:lang w:eastAsia="de-DE"/>
              </w:rPr>
              <w:t>2. Verbundgeschäft</w:t>
            </w:r>
          </w:p>
        </w:tc>
        <w:tc>
          <w:tcPr>
            <w:tcW w:w="146" w:type="dxa"/>
            <w:tcBorders>
              <w:top w:val="nil"/>
              <w:left w:val="nil"/>
              <w:bottom w:val="nil"/>
              <w:right w:val="nil"/>
            </w:tcBorders>
            <w:shd w:val="clear" w:color="auto" w:fill="auto"/>
            <w:noWrap/>
            <w:vAlign w:val="bottom"/>
            <w:hideMark/>
          </w:tcPr>
          <w:p w14:paraId="364DB763" w14:textId="77777777" w:rsidR="006275DC" w:rsidRPr="006275DC" w:rsidRDefault="006275DC" w:rsidP="006275DC">
            <w:pPr>
              <w:spacing w:line="240" w:lineRule="auto"/>
              <w:rPr>
                <w:rFonts w:ascii="Arial" w:eastAsia="Times New Roman" w:hAnsi="Arial" w:cs="Arial"/>
                <w:b/>
                <w:bCs/>
                <w:sz w:val="20"/>
                <w:szCs w:val="20"/>
                <w:lang w:eastAsia="de-DE"/>
              </w:rPr>
            </w:pPr>
          </w:p>
        </w:tc>
        <w:tc>
          <w:tcPr>
            <w:tcW w:w="1251" w:type="dxa"/>
            <w:tcBorders>
              <w:top w:val="nil"/>
              <w:left w:val="nil"/>
              <w:bottom w:val="nil"/>
              <w:right w:val="nil"/>
            </w:tcBorders>
            <w:shd w:val="clear" w:color="auto" w:fill="auto"/>
            <w:noWrap/>
            <w:vAlign w:val="bottom"/>
            <w:hideMark/>
          </w:tcPr>
          <w:p w14:paraId="5E8112D3"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18BC1BE5"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0386E19C"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6889C0BC"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644D64EF" w14:textId="77777777" w:rsidTr="006275DC">
        <w:trPr>
          <w:trHeight w:val="288"/>
        </w:trPr>
        <w:tc>
          <w:tcPr>
            <w:tcW w:w="8849" w:type="dxa"/>
            <w:gridSpan w:val="6"/>
            <w:tcBorders>
              <w:top w:val="nil"/>
              <w:left w:val="nil"/>
              <w:bottom w:val="nil"/>
              <w:right w:val="nil"/>
            </w:tcBorders>
            <w:shd w:val="clear" w:color="auto" w:fill="auto"/>
            <w:noWrap/>
            <w:vAlign w:val="bottom"/>
            <w:hideMark/>
          </w:tcPr>
          <w:p w14:paraId="1C903BA8" w14:textId="2136FF2B" w:rsidR="006275DC" w:rsidRPr="006275DC" w:rsidRDefault="006275DC" w:rsidP="006275DC">
            <w:pPr>
              <w:spacing w:line="240" w:lineRule="auto"/>
              <w:rPr>
                <w:rFonts w:ascii="Arial" w:eastAsia="Times New Roman" w:hAnsi="Arial" w:cs="Arial"/>
                <w:sz w:val="20"/>
                <w:szCs w:val="20"/>
                <w:lang w:eastAsia="de-DE"/>
              </w:rPr>
            </w:pPr>
            <w:r w:rsidRPr="006275DC">
              <w:rPr>
                <w:rFonts w:ascii="Arial" w:eastAsia="Times New Roman" w:hAnsi="Arial" w:cs="Arial"/>
                <w:i/>
                <w:iCs/>
                <w:sz w:val="20"/>
                <w:szCs w:val="20"/>
                <w:lang w:eastAsia="de-DE"/>
              </w:rPr>
              <w:t>Kurswert Depot B (lt. Größenklassengliederung) abzügl. Im Depot B verwahrte eigene Inhaberschuldverschreibungn</w:t>
            </w:r>
            <w:r w:rsidRPr="006275DC">
              <w:rPr>
                <w:rFonts w:ascii="Arial" w:eastAsia="Times New Roman" w:hAnsi="Arial" w:cs="Arial"/>
                <w:sz w:val="20"/>
                <w:szCs w:val="20"/>
                <w:lang w:eastAsia="de-DE"/>
              </w:rPr>
              <w:t>.</w:t>
            </w:r>
          </w:p>
        </w:tc>
      </w:tr>
      <w:tr w:rsidR="006275DC" w:rsidRPr="006275DC" w14:paraId="600BCD4A" w14:textId="77777777" w:rsidTr="006275DC">
        <w:trPr>
          <w:trHeight w:val="288"/>
        </w:trPr>
        <w:tc>
          <w:tcPr>
            <w:tcW w:w="3699" w:type="dxa"/>
            <w:tcBorders>
              <w:top w:val="nil"/>
              <w:left w:val="nil"/>
              <w:bottom w:val="nil"/>
              <w:right w:val="nil"/>
            </w:tcBorders>
            <w:shd w:val="clear" w:color="auto" w:fill="auto"/>
            <w:noWrap/>
            <w:vAlign w:val="bottom"/>
            <w:hideMark/>
          </w:tcPr>
          <w:p w14:paraId="08261AEA"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Kurswert DekaBank-Depot</w:t>
            </w:r>
          </w:p>
        </w:tc>
        <w:tc>
          <w:tcPr>
            <w:tcW w:w="146" w:type="dxa"/>
            <w:tcBorders>
              <w:top w:val="nil"/>
              <w:left w:val="nil"/>
              <w:bottom w:val="nil"/>
              <w:right w:val="nil"/>
            </w:tcBorders>
            <w:shd w:val="clear" w:color="auto" w:fill="auto"/>
            <w:noWrap/>
            <w:vAlign w:val="bottom"/>
            <w:hideMark/>
          </w:tcPr>
          <w:p w14:paraId="38E340AD"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0134F322"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6760215C"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6DECC799"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2FB22395"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733EC9CA" w14:textId="77777777" w:rsidTr="006275DC">
        <w:trPr>
          <w:trHeight w:val="288"/>
        </w:trPr>
        <w:tc>
          <w:tcPr>
            <w:tcW w:w="3699" w:type="dxa"/>
            <w:tcBorders>
              <w:top w:val="nil"/>
              <w:left w:val="nil"/>
              <w:bottom w:val="nil"/>
              <w:right w:val="nil"/>
            </w:tcBorders>
            <w:shd w:val="clear" w:color="auto" w:fill="auto"/>
            <w:noWrap/>
            <w:vAlign w:val="bottom"/>
            <w:hideMark/>
          </w:tcPr>
          <w:p w14:paraId="3FCF78A2"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Kurswert S-Broker-Depot</w:t>
            </w:r>
          </w:p>
        </w:tc>
        <w:tc>
          <w:tcPr>
            <w:tcW w:w="146" w:type="dxa"/>
            <w:tcBorders>
              <w:top w:val="nil"/>
              <w:left w:val="nil"/>
              <w:bottom w:val="nil"/>
              <w:right w:val="nil"/>
            </w:tcBorders>
            <w:shd w:val="clear" w:color="auto" w:fill="auto"/>
            <w:noWrap/>
            <w:vAlign w:val="bottom"/>
            <w:hideMark/>
          </w:tcPr>
          <w:p w14:paraId="1553B625"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477F745F"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7FA02C8F"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3EDA782A"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5E40B3CE"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02AD2704" w14:textId="77777777" w:rsidTr="006275DC">
        <w:trPr>
          <w:trHeight w:val="288"/>
        </w:trPr>
        <w:tc>
          <w:tcPr>
            <w:tcW w:w="3699" w:type="dxa"/>
            <w:tcBorders>
              <w:top w:val="nil"/>
              <w:left w:val="nil"/>
              <w:bottom w:val="nil"/>
              <w:right w:val="nil"/>
            </w:tcBorders>
            <w:shd w:val="clear" w:color="auto" w:fill="auto"/>
            <w:noWrap/>
            <w:vAlign w:val="bottom"/>
            <w:hideMark/>
          </w:tcPr>
          <w:p w14:paraId="4AD0300F"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LBS-Ansparguthaben</w:t>
            </w:r>
          </w:p>
        </w:tc>
        <w:tc>
          <w:tcPr>
            <w:tcW w:w="146" w:type="dxa"/>
            <w:tcBorders>
              <w:top w:val="nil"/>
              <w:left w:val="nil"/>
              <w:bottom w:val="nil"/>
              <w:right w:val="nil"/>
            </w:tcBorders>
            <w:shd w:val="clear" w:color="auto" w:fill="auto"/>
            <w:noWrap/>
            <w:vAlign w:val="bottom"/>
            <w:hideMark/>
          </w:tcPr>
          <w:p w14:paraId="2FD09C06"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70FE4D38"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66E562A4"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09060CD1"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48265C3B"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7735F04C" w14:textId="77777777" w:rsidTr="006275DC">
        <w:trPr>
          <w:trHeight w:val="288"/>
        </w:trPr>
        <w:tc>
          <w:tcPr>
            <w:tcW w:w="3845" w:type="dxa"/>
            <w:gridSpan w:val="2"/>
            <w:tcBorders>
              <w:top w:val="nil"/>
              <w:left w:val="nil"/>
              <w:bottom w:val="nil"/>
              <w:right w:val="nil"/>
            </w:tcBorders>
            <w:shd w:val="clear" w:color="auto" w:fill="auto"/>
            <w:noWrap/>
            <w:vAlign w:val="bottom"/>
            <w:hideMark/>
          </w:tcPr>
          <w:p w14:paraId="47BE874A"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LBS-Darlehensausreichungen</w:t>
            </w:r>
          </w:p>
        </w:tc>
        <w:tc>
          <w:tcPr>
            <w:tcW w:w="1251" w:type="dxa"/>
            <w:tcBorders>
              <w:top w:val="nil"/>
              <w:left w:val="nil"/>
              <w:bottom w:val="nil"/>
              <w:right w:val="nil"/>
            </w:tcBorders>
            <w:shd w:val="clear" w:color="auto" w:fill="auto"/>
            <w:noWrap/>
            <w:vAlign w:val="bottom"/>
            <w:hideMark/>
          </w:tcPr>
          <w:p w14:paraId="7358FC9F"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37E04F55"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33503530"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27154CF4"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485DF6DE" w14:textId="77777777" w:rsidTr="006275DC">
        <w:trPr>
          <w:trHeight w:val="288"/>
        </w:trPr>
        <w:tc>
          <w:tcPr>
            <w:tcW w:w="5096" w:type="dxa"/>
            <w:gridSpan w:val="3"/>
            <w:tcBorders>
              <w:top w:val="nil"/>
              <w:left w:val="nil"/>
              <w:bottom w:val="nil"/>
              <w:right w:val="nil"/>
            </w:tcBorders>
            <w:shd w:val="clear" w:color="auto" w:fill="auto"/>
            <w:noWrap/>
            <w:vAlign w:val="bottom"/>
            <w:hideMark/>
          </w:tcPr>
          <w:p w14:paraId="6B5094A2"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VKB-Rückkaufswerte Lebensversicherungen</w:t>
            </w:r>
          </w:p>
        </w:tc>
        <w:tc>
          <w:tcPr>
            <w:tcW w:w="1251" w:type="dxa"/>
            <w:tcBorders>
              <w:top w:val="nil"/>
              <w:left w:val="nil"/>
              <w:bottom w:val="nil"/>
              <w:right w:val="nil"/>
            </w:tcBorders>
            <w:shd w:val="clear" w:color="auto" w:fill="auto"/>
            <w:noWrap/>
            <w:vAlign w:val="bottom"/>
            <w:hideMark/>
          </w:tcPr>
          <w:p w14:paraId="0D6302F7"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2A7577CD"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7781C48B"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05581D8D" w14:textId="77777777" w:rsidTr="006275DC">
        <w:trPr>
          <w:trHeight w:val="288"/>
        </w:trPr>
        <w:tc>
          <w:tcPr>
            <w:tcW w:w="3699" w:type="dxa"/>
            <w:tcBorders>
              <w:top w:val="nil"/>
              <w:left w:val="nil"/>
              <w:bottom w:val="nil"/>
              <w:right w:val="nil"/>
            </w:tcBorders>
            <w:shd w:val="clear" w:color="auto" w:fill="auto"/>
            <w:noWrap/>
            <w:vAlign w:val="bottom"/>
            <w:hideMark/>
          </w:tcPr>
          <w:p w14:paraId="57D46B8D"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BayernLB-Konsortialanteile</w:t>
            </w:r>
          </w:p>
        </w:tc>
        <w:tc>
          <w:tcPr>
            <w:tcW w:w="146" w:type="dxa"/>
            <w:tcBorders>
              <w:top w:val="nil"/>
              <w:left w:val="nil"/>
              <w:bottom w:val="nil"/>
              <w:right w:val="nil"/>
            </w:tcBorders>
            <w:shd w:val="clear" w:color="auto" w:fill="auto"/>
            <w:noWrap/>
            <w:vAlign w:val="bottom"/>
            <w:hideMark/>
          </w:tcPr>
          <w:p w14:paraId="0B2EF650"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23AC18BB"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1C3D8438"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7F061A5A"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282DEFE0"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6B398845" w14:textId="77777777" w:rsidTr="006275DC">
        <w:trPr>
          <w:trHeight w:val="288"/>
        </w:trPr>
        <w:tc>
          <w:tcPr>
            <w:tcW w:w="3845" w:type="dxa"/>
            <w:gridSpan w:val="2"/>
            <w:tcBorders>
              <w:top w:val="nil"/>
              <w:left w:val="nil"/>
              <w:bottom w:val="nil"/>
              <w:right w:val="nil"/>
            </w:tcBorders>
            <w:shd w:val="clear" w:color="auto" w:fill="auto"/>
            <w:noWrap/>
            <w:vAlign w:val="bottom"/>
            <w:hideMark/>
          </w:tcPr>
          <w:p w14:paraId="20724E0A"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lastRenderedPageBreak/>
              <w:t>REAL I.S. Bestand REAL I.S. Fonds</w:t>
            </w:r>
          </w:p>
        </w:tc>
        <w:tc>
          <w:tcPr>
            <w:tcW w:w="1251" w:type="dxa"/>
            <w:tcBorders>
              <w:top w:val="nil"/>
              <w:left w:val="nil"/>
              <w:bottom w:val="nil"/>
              <w:right w:val="nil"/>
            </w:tcBorders>
            <w:shd w:val="clear" w:color="auto" w:fill="auto"/>
            <w:noWrap/>
            <w:vAlign w:val="bottom"/>
            <w:hideMark/>
          </w:tcPr>
          <w:p w14:paraId="5C28A8BA"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1EDDD245"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3ED86DB8"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0FF5FEB8"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316A1E41" w14:textId="77777777" w:rsidTr="006275DC">
        <w:trPr>
          <w:trHeight w:val="288"/>
        </w:trPr>
        <w:tc>
          <w:tcPr>
            <w:tcW w:w="7598" w:type="dxa"/>
            <w:gridSpan w:val="5"/>
            <w:tcBorders>
              <w:top w:val="nil"/>
              <w:left w:val="nil"/>
              <w:bottom w:val="nil"/>
              <w:right w:val="nil"/>
            </w:tcBorders>
            <w:shd w:val="clear" w:color="auto" w:fill="auto"/>
            <w:noWrap/>
            <w:vAlign w:val="bottom"/>
            <w:hideMark/>
          </w:tcPr>
          <w:p w14:paraId="192DBE72"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SKP-Bestand vom S-Kreditpartner an Privatpersonen vermittelte Kredite</w:t>
            </w:r>
          </w:p>
        </w:tc>
        <w:tc>
          <w:tcPr>
            <w:tcW w:w="1251" w:type="dxa"/>
            <w:tcBorders>
              <w:top w:val="nil"/>
              <w:left w:val="nil"/>
              <w:bottom w:val="nil"/>
              <w:right w:val="nil"/>
            </w:tcBorders>
            <w:shd w:val="clear" w:color="auto" w:fill="auto"/>
            <w:noWrap/>
            <w:vAlign w:val="bottom"/>
            <w:hideMark/>
          </w:tcPr>
          <w:p w14:paraId="0AEFED2A" w14:textId="77777777" w:rsidR="006275DC" w:rsidRPr="006275DC" w:rsidRDefault="006275DC" w:rsidP="006275DC">
            <w:pPr>
              <w:spacing w:line="240" w:lineRule="auto"/>
              <w:rPr>
                <w:rFonts w:ascii="Arial" w:eastAsia="Times New Roman" w:hAnsi="Arial" w:cs="Arial"/>
                <w:sz w:val="20"/>
                <w:szCs w:val="20"/>
                <w:lang w:eastAsia="de-DE"/>
              </w:rPr>
            </w:pPr>
          </w:p>
        </w:tc>
      </w:tr>
      <w:tr w:rsidR="006275DC" w:rsidRPr="006275DC" w14:paraId="214AE824" w14:textId="77777777" w:rsidTr="006275DC">
        <w:trPr>
          <w:trHeight w:val="288"/>
        </w:trPr>
        <w:tc>
          <w:tcPr>
            <w:tcW w:w="3699" w:type="dxa"/>
            <w:tcBorders>
              <w:top w:val="nil"/>
              <w:left w:val="nil"/>
              <w:bottom w:val="nil"/>
              <w:right w:val="nil"/>
            </w:tcBorders>
            <w:shd w:val="clear" w:color="auto" w:fill="auto"/>
            <w:noWrap/>
            <w:vAlign w:val="bottom"/>
            <w:hideMark/>
          </w:tcPr>
          <w:p w14:paraId="4F176DB7" w14:textId="77777777" w:rsidR="006275DC" w:rsidRPr="006275DC" w:rsidRDefault="006275DC" w:rsidP="006275DC">
            <w:pPr>
              <w:spacing w:line="240" w:lineRule="auto"/>
              <w:rPr>
                <w:rFonts w:ascii="Arial" w:eastAsia="Times New Roman" w:hAnsi="Arial" w:cs="Arial"/>
                <w:b/>
                <w:bCs/>
                <w:sz w:val="20"/>
                <w:szCs w:val="20"/>
                <w:lang w:eastAsia="de-DE"/>
              </w:rPr>
            </w:pPr>
            <w:r w:rsidRPr="006275DC">
              <w:rPr>
                <w:rFonts w:ascii="Arial" w:eastAsia="Times New Roman" w:hAnsi="Arial" w:cs="Arial"/>
                <w:b/>
                <w:bCs/>
                <w:sz w:val="20"/>
                <w:szCs w:val="20"/>
                <w:lang w:eastAsia="de-DE"/>
              </w:rPr>
              <w:t>3. Eigenkapital</w:t>
            </w:r>
          </w:p>
        </w:tc>
        <w:tc>
          <w:tcPr>
            <w:tcW w:w="146" w:type="dxa"/>
            <w:tcBorders>
              <w:top w:val="nil"/>
              <w:left w:val="nil"/>
              <w:bottom w:val="nil"/>
              <w:right w:val="nil"/>
            </w:tcBorders>
            <w:shd w:val="clear" w:color="auto" w:fill="auto"/>
            <w:noWrap/>
            <w:vAlign w:val="bottom"/>
            <w:hideMark/>
          </w:tcPr>
          <w:p w14:paraId="50D8F7F8" w14:textId="77777777" w:rsidR="006275DC" w:rsidRPr="006275DC" w:rsidRDefault="006275DC" w:rsidP="006275DC">
            <w:pPr>
              <w:spacing w:line="240" w:lineRule="auto"/>
              <w:rPr>
                <w:rFonts w:ascii="Arial" w:eastAsia="Times New Roman" w:hAnsi="Arial" w:cs="Arial"/>
                <w:b/>
                <w:bCs/>
                <w:sz w:val="20"/>
                <w:szCs w:val="20"/>
                <w:lang w:eastAsia="de-DE"/>
              </w:rPr>
            </w:pPr>
          </w:p>
        </w:tc>
        <w:tc>
          <w:tcPr>
            <w:tcW w:w="1251" w:type="dxa"/>
            <w:tcBorders>
              <w:top w:val="nil"/>
              <w:left w:val="nil"/>
              <w:bottom w:val="nil"/>
              <w:right w:val="nil"/>
            </w:tcBorders>
            <w:shd w:val="clear" w:color="auto" w:fill="auto"/>
            <w:noWrap/>
            <w:vAlign w:val="bottom"/>
            <w:hideMark/>
          </w:tcPr>
          <w:p w14:paraId="2EADD3EA"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5DA78449"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7E8ABAE9"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2B31670B"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793F1C7D" w14:textId="77777777" w:rsidTr="006275DC">
        <w:trPr>
          <w:trHeight w:val="288"/>
        </w:trPr>
        <w:tc>
          <w:tcPr>
            <w:tcW w:w="5096" w:type="dxa"/>
            <w:gridSpan w:val="3"/>
            <w:tcBorders>
              <w:top w:val="nil"/>
              <w:left w:val="nil"/>
              <w:bottom w:val="nil"/>
              <w:right w:val="nil"/>
            </w:tcBorders>
            <w:shd w:val="clear" w:color="auto" w:fill="auto"/>
            <w:noWrap/>
            <w:vAlign w:val="bottom"/>
            <w:hideMark/>
          </w:tcPr>
          <w:p w14:paraId="51B86A12" w14:textId="77777777" w:rsidR="006275DC" w:rsidRPr="006275DC" w:rsidRDefault="006275DC" w:rsidP="006275DC">
            <w:pPr>
              <w:spacing w:line="240" w:lineRule="auto"/>
              <w:rPr>
                <w:rFonts w:ascii="Arial" w:eastAsia="Times New Roman" w:hAnsi="Arial" w:cs="Arial"/>
                <w:sz w:val="20"/>
                <w:szCs w:val="20"/>
                <w:lang w:eastAsia="de-DE"/>
              </w:rPr>
            </w:pPr>
            <w:r w:rsidRPr="006275DC">
              <w:rPr>
                <w:rFonts w:ascii="Arial" w:eastAsia="Times New Roman" w:hAnsi="Arial" w:cs="Arial"/>
                <w:sz w:val="20"/>
                <w:szCs w:val="20"/>
                <w:lang w:eastAsia="de-DE"/>
              </w:rPr>
              <w:t>Passiva 11 (Fonds für allgemeine Bankrücklagen)</w:t>
            </w:r>
          </w:p>
        </w:tc>
        <w:tc>
          <w:tcPr>
            <w:tcW w:w="1251" w:type="dxa"/>
            <w:tcBorders>
              <w:top w:val="nil"/>
              <w:left w:val="nil"/>
              <w:bottom w:val="nil"/>
              <w:right w:val="nil"/>
            </w:tcBorders>
            <w:shd w:val="clear" w:color="auto" w:fill="auto"/>
            <w:noWrap/>
            <w:vAlign w:val="bottom"/>
            <w:hideMark/>
          </w:tcPr>
          <w:p w14:paraId="2ACA08D6" w14:textId="77777777" w:rsidR="006275DC" w:rsidRPr="006275DC" w:rsidRDefault="006275DC" w:rsidP="006275DC">
            <w:pPr>
              <w:spacing w:line="240" w:lineRule="auto"/>
              <w:rPr>
                <w:rFonts w:ascii="Arial" w:eastAsia="Times New Roman" w:hAnsi="Arial" w:cs="Arial"/>
                <w:sz w:val="20"/>
                <w:szCs w:val="20"/>
                <w:lang w:eastAsia="de-DE"/>
              </w:rPr>
            </w:pPr>
          </w:p>
        </w:tc>
        <w:tc>
          <w:tcPr>
            <w:tcW w:w="1251" w:type="dxa"/>
            <w:tcBorders>
              <w:top w:val="nil"/>
              <w:left w:val="nil"/>
              <w:bottom w:val="nil"/>
              <w:right w:val="nil"/>
            </w:tcBorders>
            <w:shd w:val="clear" w:color="auto" w:fill="auto"/>
            <w:noWrap/>
            <w:vAlign w:val="bottom"/>
            <w:hideMark/>
          </w:tcPr>
          <w:p w14:paraId="23C1BA7B"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c>
          <w:tcPr>
            <w:tcW w:w="1251" w:type="dxa"/>
            <w:tcBorders>
              <w:top w:val="nil"/>
              <w:left w:val="nil"/>
              <w:bottom w:val="nil"/>
              <w:right w:val="nil"/>
            </w:tcBorders>
            <w:shd w:val="clear" w:color="auto" w:fill="auto"/>
            <w:noWrap/>
            <w:vAlign w:val="bottom"/>
            <w:hideMark/>
          </w:tcPr>
          <w:p w14:paraId="5A1BD820"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2C31B7F2" w14:textId="77777777" w:rsidTr="006275DC">
        <w:trPr>
          <w:trHeight w:val="288"/>
        </w:trPr>
        <w:tc>
          <w:tcPr>
            <w:tcW w:w="6347" w:type="dxa"/>
            <w:gridSpan w:val="4"/>
            <w:tcBorders>
              <w:top w:val="nil"/>
              <w:left w:val="nil"/>
              <w:bottom w:val="nil"/>
              <w:right w:val="nil"/>
            </w:tcBorders>
            <w:shd w:val="clear" w:color="auto" w:fill="auto"/>
            <w:noWrap/>
            <w:vAlign w:val="bottom"/>
            <w:hideMark/>
          </w:tcPr>
          <w:p w14:paraId="0534D196" w14:textId="77777777" w:rsidR="006275DC" w:rsidRPr="006275DC" w:rsidRDefault="006275DC" w:rsidP="006275DC">
            <w:pPr>
              <w:spacing w:line="240" w:lineRule="auto"/>
              <w:rPr>
                <w:rFonts w:ascii="Arial" w:eastAsia="Times New Roman" w:hAnsi="Arial" w:cs="Arial"/>
                <w:sz w:val="20"/>
                <w:szCs w:val="20"/>
                <w:lang w:eastAsia="de-DE"/>
              </w:rPr>
            </w:pPr>
            <w:r w:rsidRPr="006275DC">
              <w:rPr>
                <w:rFonts w:ascii="Arial" w:eastAsia="Times New Roman" w:hAnsi="Arial" w:cs="Arial"/>
                <w:sz w:val="20"/>
                <w:szCs w:val="20"/>
                <w:lang w:eastAsia="de-DE"/>
              </w:rPr>
              <w:t>Passiva 12 (Rücklagen, Sicherheitsrücklage, Gewinnrücklagen)</w:t>
            </w:r>
          </w:p>
        </w:tc>
        <w:tc>
          <w:tcPr>
            <w:tcW w:w="1251" w:type="dxa"/>
            <w:tcBorders>
              <w:top w:val="nil"/>
              <w:left w:val="nil"/>
              <w:bottom w:val="nil"/>
              <w:right w:val="nil"/>
            </w:tcBorders>
            <w:shd w:val="clear" w:color="auto" w:fill="auto"/>
            <w:noWrap/>
            <w:vAlign w:val="bottom"/>
            <w:hideMark/>
          </w:tcPr>
          <w:p w14:paraId="565929CD" w14:textId="77777777" w:rsidR="006275DC" w:rsidRPr="006275DC" w:rsidRDefault="006275DC" w:rsidP="006275DC">
            <w:pPr>
              <w:spacing w:line="240" w:lineRule="auto"/>
              <w:rPr>
                <w:rFonts w:ascii="Arial" w:eastAsia="Times New Roman" w:hAnsi="Arial" w:cs="Arial"/>
                <w:sz w:val="20"/>
                <w:szCs w:val="20"/>
                <w:lang w:eastAsia="de-DE"/>
              </w:rPr>
            </w:pPr>
          </w:p>
        </w:tc>
        <w:tc>
          <w:tcPr>
            <w:tcW w:w="1251" w:type="dxa"/>
            <w:tcBorders>
              <w:top w:val="nil"/>
              <w:left w:val="nil"/>
              <w:bottom w:val="nil"/>
              <w:right w:val="nil"/>
            </w:tcBorders>
            <w:shd w:val="clear" w:color="auto" w:fill="auto"/>
            <w:noWrap/>
            <w:vAlign w:val="bottom"/>
            <w:hideMark/>
          </w:tcPr>
          <w:p w14:paraId="35A59429" w14:textId="77777777" w:rsidR="006275DC" w:rsidRPr="006275DC" w:rsidRDefault="006275DC" w:rsidP="006275DC">
            <w:pPr>
              <w:spacing w:line="240" w:lineRule="auto"/>
              <w:rPr>
                <w:rFonts w:ascii="Times New Roman" w:eastAsia="Times New Roman" w:hAnsi="Times New Roman" w:cs="Times New Roman"/>
                <w:sz w:val="20"/>
                <w:szCs w:val="20"/>
                <w:lang w:eastAsia="de-DE"/>
              </w:rPr>
            </w:pPr>
          </w:p>
        </w:tc>
      </w:tr>
      <w:tr w:rsidR="006275DC" w:rsidRPr="006275DC" w14:paraId="30B1AA86" w14:textId="77777777" w:rsidTr="006275DC">
        <w:trPr>
          <w:trHeight w:val="288"/>
        </w:trPr>
        <w:tc>
          <w:tcPr>
            <w:tcW w:w="5096" w:type="dxa"/>
            <w:gridSpan w:val="3"/>
            <w:tcBorders>
              <w:top w:val="nil"/>
              <w:left w:val="nil"/>
              <w:bottom w:val="nil"/>
              <w:right w:val="nil"/>
            </w:tcBorders>
            <w:shd w:val="clear" w:color="auto" w:fill="auto"/>
            <w:noWrap/>
            <w:vAlign w:val="bottom"/>
            <w:hideMark/>
          </w:tcPr>
          <w:p w14:paraId="0A6A8A98"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Bestand an Vorsorgereserven lt § 340f HGB</w:t>
            </w:r>
          </w:p>
        </w:tc>
        <w:tc>
          <w:tcPr>
            <w:tcW w:w="1251" w:type="dxa"/>
            <w:tcBorders>
              <w:top w:val="nil"/>
              <w:left w:val="nil"/>
              <w:bottom w:val="nil"/>
              <w:right w:val="nil"/>
            </w:tcBorders>
            <w:shd w:val="clear" w:color="auto" w:fill="auto"/>
            <w:noWrap/>
            <w:vAlign w:val="bottom"/>
            <w:hideMark/>
          </w:tcPr>
          <w:p w14:paraId="3453AE3B"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094FCC14"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5554C90C"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r>
      <w:tr w:rsidR="006275DC" w:rsidRPr="006275DC" w14:paraId="2FA28D36" w14:textId="77777777" w:rsidTr="006275DC">
        <w:trPr>
          <w:trHeight w:val="288"/>
        </w:trPr>
        <w:tc>
          <w:tcPr>
            <w:tcW w:w="5096" w:type="dxa"/>
            <w:gridSpan w:val="3"/>
            <w:tcBorders>
              <w:top w:val="nil"/>
              <w:left w:val="nil"/>
              <w:bottom w:val="nil"/>
              <w:right w:val="nil"/>
            </w:tcBorders>
            <w:shd w:val="clear" w:color="auto" w:fill="auto"/>
            <w:noWrap/>
            <w:vAlign w:val="bottom"/>
            <w:hideMark/>
          </w:tcPr>
          <w:p w14:paraId="2AE7B65D" w14:textId="77777777" w:rsidR="006275DC" w:rsidRPr="006275DC" w:rsidRDefault="006275DC" w:rsidP="006275DC">
            <w:pPr>
              <w:spacing w:line="240" w:lineRule="auto"/>
              <w:rPr>
                <w:rFonts w:ascii="Arial" w:eastAsia="Times New Roman" w:hAnsi="Arial" w:cs="Arial"/>
                <w:i/>
                <w:iCs/>
                <w:sz w:val="20"/>
                <w:szCs w:val="20"/>
                <w:lang w:eastAsia="de-DE"/>
              </w:rPr>
            </w:pPr>
            <w:r w:rsidRPr="006275DC">
              <w:rPr>
                <w:rFonts w:ascii="Arial" w:eastAsia="Times New Roman" w:hAnsi="Arial" w:cs="Arial"/>
                <w:i/>
                <w:iCs/>
                <w:sz w:val="20"/>
                <w:szCs w:val="20"/>
                <w:lang w:eastAsia="de-DE"/>
              </w:rPr>
              <w:t>Bestand an Vorsorgereserven lt § 26a KWG</w:t>
            </w:r>
          </w:p>
        </w:tc>
        <w:tc>
          <w:tcPr>
            <w:tcW w:w="1251" w:type="dxa"/>
            <w:tcBorders>
              <w:top w:val="nil"/>
              <w:left w:val="nil"/>
              <w:bottom w:val="nil"/>
              <w:right w:val="nil"/>
            </w:tcBorders>
            <w:shd w:val="clear" w:color="auto" w:fill="auto"/>
            <w:noWrap/>
            <w:vAlign w:val="bottom"/>
            <w:hideMark/>
          </w:tcPr>
          <w:p w14:paraId="164BE5E7" w14:textId="77777777" w:rsidR="006275DC" w:rsidRPr="006275DC" w:rsidRDefault="006275DC" w:rsidP="006275DC">
            <w:pPr>
              <w:spacing w:line="240" w:lineRule="auto"/>
              <w:rPr>
                <w:rFonts w:ascii="Arial" w:eastAsia="Times New Roman" w:hAnsi="Arial" w:cs="Arial"/>
                <w:i/>
                <w:iCs/>
                <w:sz w:val="20"/>
                <w:szCs w:val="20"/>
                <w:lang w:eastAsia="de-DE"/>
              </w:rPr>
            </w:pPr>
          </w:p>
        </w:tc>
        <w:tc>
          <w:tcPr>
            <w:tcW w:w="1251" w:type="dxa"/>
            <w:tcBorders>
              <w:top w:val="nil"/>
              <w:left w:val="nil"/>
              <w:bottom w:val="nil"/>
              <w:right w:val="nil"/>
            </w:tcBorders>
            <w:shd w:val="clear" w:color="auto" w:fill="auto"/>
            <w:noWrap/>
            <w:vAlign w:val="bottom"/>
            <w:hideMark/>
          </w:tcPr>
          <w:p w14:paraId="78BF99C5"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c>
          <w:tcPr>
            <w:tcW w:w="1251" w:type="dxa"/>
            <w:tcBorders>
              <w:top w:val="nil"/>
              <w:left w:val="nil"/>
              <w:bottom w:val="nil"/>
              <w:right w:val="nil"/>
            </w:tcBorders>
            <w:shd w:val="clear" w:color="auto" w:fill="auto"/>
            <w:noWrap/>
            <w:vAlign w:val="bottom"/>
            <w:hideMark/>
          </w:tcPr>
          <w:p w14:paraId="697B0603" w14:textId="77777777" w:rsidR="006275DC" w:rsidRPr="006275DC" w:rsidRDefault="006275DC" w:rsidP="006275DC">
            <w:pPr>
              <w:spacing w:line="240" w:lineRule="auto"/>
              <w:rPr>
                <w:rFonts w:ascii="Times New Roman" w:eastAsia="Times New Roman" w:hAnsi="Times New Roman" w:cs="Times New Roman"/>
                <w:i/>
                <w:iCs/>
                <w:sz w:val="20"/>
                <w:szCs w:val="20"/>
                <w:lang w:eastAsia="de-DE"/>
              </w:rPr>
            </w:pPr>
          </w:p>
        </w:tc>
      </w:tr>
    </w:tbl>
    <w:p w14:paraId="4CCE7D6E" w14:textId="7147AFE3" w:rsidR="006275DC" w:rsidRPr="0002434C" w:rsidRDefault="006275DC" w:rsidP="007052A8">
      <w:pPr>
        <w:rPr>
          <w:sz w:val="16"/>
          <w:szCs w:val="16"/>
        </w:rPr>
      </w:pPr>
    </w:p>
    <w:p w14:paraId="6633792B" w14:textId="3D25E05C" w:rsidR="006275DC" w:rsidRDefault="006275DC" w:rsidP="007052A8">
      <w:pPr>
        <w:rPr>
          <w:sz w:val="24"/>
          <w:szCs w:val="24"/>
        </w:rPr>
      </w:pPr>
      <w:r>
        <w:rPr>
          <w:sz w:val="24"/>
          <w:szCs w:val="24"/>
        </w:rPr>
        <w:t xml:space="preserve">Im Unterschied zu früher wird auf die Bilanzsumme verzichtet. Das </w:t>
      </w:r>
      <w:r w:rsidR="000418A2">
        <w:rPr>
          <w:sz w:val="24"/>
          <w:szCs w:val="24"/>
        </w:rPr>
        <w:t xml:space="preserve">(geheimnisvolle) </w:t>
      </w:r>
      <w:r>
        <w:rPr>
          <w:sz w:val="24"/>
          <w:szCs w:val="24"/>
        </w:rPr>
        <w:t>Depot B gibt es immer noch</w:t>
      </w:r>
      <w:r w:rsidR="000418A2">
        <w:rPr>
          <w:sz w:val="24"/>
          <w:szCs w:val="24"/>
        </w:rPr>
        <w:t xml:space="preserve"> in der Kategorie 2. </w:t>
      </w:r>
      <w:r w:rsidR="00C92319">
        <w:rPr>
          <w:sz w:val="24"/>
          <w:szCs w:val="24"/>
        </w:rPr>
        <w:t>(</w:t>
      </w:r>
      <w:r w:rsidR="000418A2">
        <w:rPr>
          <w:sz w:val="24"/>
          <w:szCs w:val="24"/>
        </w:rPr>
        <w:t>Verbundgeschäft</w:t>
      </w:r>
      <w:r w:rsidR="00C92319">
        <w:rPr>
          <w:sz w:val="24"/>
          <w:szCs w:val="24"/>
        </w:rPr>
        <w:t>)</w:t>
      </w:r>
      <w:r w:rsidR="000418A2">
        <w:rPr>
          <w:sz w:val="24"/>
          <w:szCs w:val="24"/>
        </w:rPr>
        <w:t>. Dieses wird nun detailliert darge</w:t>
      </w:r>
      <w:r w:rsidR="00053A96">
        <w:rPr>
          <w:sz w:val="24"/>
          <w:szCs w:val="24"/>
        </w:rPr>
        <w:softHyphen/>
      </w:r>
      <w:r w:rsidR="000418A2">
        <w:rPr>
          <w:sz w:val="24"/>
          <w:szCs w:val="24"/>
        </w:rPr>
        <w:t xml:space="preserve">legt, die früheren Pauschalzuschläge </w:t>
      </w:r>
      <w:r w:rsidR="00CC72FD">
        <w:rPr>
          <w:sz w:val="24"/>
          <w:szCs w:val="24"/>
        </w:rPr>
        <w:t xml:space="preserve">(Zulagen usw.) </w:t>
      </w:r>
      <w:r w:rsidR="000418A2">
        <w:rPr>
          <w:sz w:val="24"/>
          <w:szCs w:val="24"/>
        </w:rPr>
        <w:t>gibt es nicht mehr.</w:t>
      </w:r>
    </w:p>
    <w:p w14:paraId="061C0E93" w14:textId="75FBB762" w:rsidR="000418A2" w:rsidRDefault="000418A2" w:rsidP="007052A8">
      <w:pPr>
        <w:rPr>
          <w:sz w:val="24"/>
          <w:szCs w:val="24"/>
        </w:rPr>
      </w:pPr>
      <w:r>
        <w:rPr>
          <w:sz w:val="24"/>
          <w:szCs w:val="24"/>
        </w:rPr>
        <w:t>Kurz gesagt, die Größen des Verbundgeschäfts stehen nicht in der Bilanz und sind nicht zu ermitteln. Ebenso</w:t>
      </w:r>
      <w:r w:rsidR="00C92319">
        <w:rPr>
          <w:sz w:val="24"/>
          <w:szCs w:val="24"/>
        </w:rPr>
        <w:t xml:space="preserve"> wenig</w:t>
      </w:r>
      <w:r>
        <w:rPr>
          <w:sz w:val="24"/>
          <w:szCs w:val="24"/>
        </w:rPr>
        <w:t xml:space="preserve"> die Vorsorgereserven lt. HGB bzw. KWG</w:t>
      </w:r>
      <w:r w:rsidR="00053A96">
        <w:rPr>
          <w:sz w:val="24"/>
          <w:szCs w:val="24"/>
        </w:rPr>
        <w:t xml:space="preserve"> beim Eigenkapital.</w:t>
      </w:r>
    </w:p>
    <w:p w14:paraId="129CDB39" w14:textId="77777777" w:rsidR="000418A2" w:rsidRPr="0002434C" w:rsidRDefault="000418A2" w:rsidP="007052A8">
      <w:pPr>
        <w:rPr>
          <w:sz w:val="16"/>
          <w:szCs w:val="16"/>
        </w:rPr>
      </w:pPr>
    </w:p>
    <w:p w14:paraId="3A8A4AF4" w14:textId="4FFC9BFF" w:rsidR="000418A2" w:rsidRDefault="000418A2" w:rsidP="007052A8">
      <w:pPr>
        <w:rPr>
          <w:sz w:val="24"/>
          <w:szCs w:val="24"/>
        </w:rPr>
      </w:pPr>
      <w:r>
        <w:rPr>
          <w:sz w:val="24"/>
          <w:szCs w:val="24"/>
        </w:rPr>
        <w:t>Damit sind die Bestandteile de</w:t>
      </w:r>
      <w:r w:rsidR="00053A96">
        <w:rPr>
          <w:sz w:val="24"/>
          <w:szCs w:val="24"/>
        </w:rPr>
        <w:t>r</w:t>
      </w:r>
      <w:r>
        <w:rPr>
          <w:sz w:val="24"/>
          <w:szCs w:val="24"/>
        </w:rPr>
        <w:t xml:space="preserve"> Vorstandsgeh</w:t>
      </w:r>
      <w:r w:rsidR="00053A96">
        <w:rPr>
          <w:sz w:val="24"/>
          <w:szCs w:val="24"/>
        </w:rPr>
        <w:t>ä</w:t>
      </w:r>
      <w:r>
        <w:rPr>
          <w:sz w:val="24"/>
          <w:szCs w:val="24"/>
        </w:rPr>
        <w:t>lt</w:t>
      </w:r>
      <w:r w:rsidR="00053A96">
        <w:rPr>
          <w:sz w:val="24"/>
          <w:szCs w:val="24"/>
        </w:rPr>
        <w:t>er</w:t>
      </w:r>
      <w:r>
        <w:rPr>
          <w:sz w:val="24"/>
          <w:szCs w:val="24"/>
        </w:rPr>
        <w:t xml:space="preserve"> noch weniger nachvollziehbar als früher. </w:t>
      </w:r>
      <w:r w:rsidR="00053A96">
        <w:rPr>
          <w:sz w:val="24"/>
          <w:szCs w:val="24"/>
        </w:rPr>
        <w:t xml:space="preserve">Aber: </w:t>
      </w:r>
      <w:r>
        <w:rPr>
          <w:sz w:val="24"/>
          <w:szCs w:val="24"/>
        </w:rPr>
        <w:t xml:space="preserve">Die </w:t>
      </w:r>
      <w:r w:rsidR="00FC6194">
        <w:rPr>
          <w:sz w:val="24"/>
          <w:szCs w:val="24"/>
        </w:rPr>
        <w:t>Sparkassen gehören dem öffentlichen Dienst an.</w:t>
      </w:r>
      <w:r w:rsidR="00CC72FD">
        <w:rPr>
          <w:sz w:val="24"/>
          <w:szCs w:val="24"/>
        </w:rPr>
        <w:t xml:space="preserve"> Es ist fraglich, ob die Gehaltsfindung für einen Vorstand so intransparent gestaltet werden darf wie in der neuen Vergütungsregelung.</w:t>
      </w:r>
    </w:p>
    <w:p w14:paraId="6B89143F" w14:textId="04DA97DF" w:rsidR="00CC72FD" w:rsidRPr="0002434C" w:rsidRDefault="00CC72FD" w:rsidP="007052A8">
      <w:pPr>
        <w:rPr>
          <w:sz w:val="16"/>
          <w:szCs w:val="16"/>
        </w:rPr>
      </w:pPr>
    </w:p>
    <w:p w14:paraId="324F80DF" w14:textId="34232CBA" w:rsidR="00CC72FD" w:rsidRDefault="00CC72FD" w:rsidP="007052A8">
      <w:pPr>
        <w:rPr>
          <w:sz w:val="24"/>
          <w:szCs w:val="24"/>
        </w:rPr>
      </w:pPr>
      <w:r>
        <w:rPr>
          <w:sz w:val="24"/>
          <w:szCs w:val="24"/>
        </w:rPr>
        <w:t>Auch</w:t>
      </w:r>
      <w:r w:rsidR="00053A96">
        <w:rPr>
          <w:sz w:val="24"/>
          <w:szCs w:val="24"/>
        </w:rPr>
        <w:t xml:space="preserve"> bei der neuen Regelung der Bezüge </w:t>
      </w:r>
      <w:r>
        <w:rPr>
          <w:sz w:val="24"/>
          <w:szCs w:val="24"/>
        </w:rPr>
        <w:t>gibt es nach der Ermittlung der Bemessungs</w:t>
      </w:r>
      <w:r w:rsidR="00053A96">
        <w:rPr>
          <w:sz w:val="24"/>
          <w:szCs w:val="24"/>
        </w:rPr>
        <w:softHyphen/>
      </w:r>
      <w:r>
        <w:rPr>
          <w:sz w:val="24"/>
          <w:szCs w:val="24"/>
        </w:rPr>
        <w:t>grundlage drei Größenklassen</w:t>
      </w:r>
      <w:r w:rsidR="00C92319">
        <w:rPr>
          <w:sz w:val="24"/>
          <w:szCs w:val="24"/>
        </w:rPr>
        <w:t xml:space="preserve">, </w:t>
      </w:r>
      <w:r>
        <w:rPr>
          <w:sz w:val="24"/>
          <w:szCs w:val="24"/>
        </w:rPr>
        <w:t>aus der dann die Bezüge ermittelt werden.</w:t>
      </w:r>
    </w:p>
    <w:p w14:paraId="14912FEC" w14:textId="588174A9" w:rsidR="00CC72FD" w:rsidRDefault="00CC72FD" w:rsidP="007052A8">
      <w:pPr>
        <w:rPr>
          <w:sz w:val="24"/>
          <w:szCs w:val="24"/>
        </w:rPr>
      </w:pPr>
      <w:r>
        <w:rPr>
          <w:sz w:val="24"/>
          <w:szCs w:val="24"/>
        </w:rPr>
        <w:t xml:space="preserve">Wegen der fehlenden Daten kann nur geschätzt werden, dass die Sparkassenvorstände in den beiden Sparkassen </w:t>
      </w:r>
      <w:r w:rsidR="00C92319">
        <w:rPr>
          <w:sz w:val="24"/>
          <w:szCs w:val="24"/>
        </w:rPr>
        <w:t xml:space="preserve">vor der Fusion </w:t>
      </w:r>
      <w:r>
        <w:rPr>
          <w:sz w:val="24"/>
          <w:szCs w:val="24"/>
        </w:rPr>
        <w:t xml:space="preserve">in die </w:t>
      </w:r>
      <w:r w:rsidRPr="00053A96">
        <w:rPr>
          <w:sz w:val="24"/>
          <w:szCs w:val="24"/>
          <w:u w:val="single"/>
        </w:rPr>
        <w:t>Größenklasse I</w:t>
      </w:r>
      <w:r>
        <w:rPr>
          <w:sz w:val="24"/>
          <w:szCs w:val="24"/>
        </w:rPr>
        <w:t xml:space="preserve"> fallen.</w:t>
      </w:r>
    </w:p>
    <w:p w14:paraId="085D7E25" w14:textId="05BD0658" w:rsidR="00CC72FD" w:rsidRPr="00E975FE" w:rsidRDefault="00CC72FD" w:rsidP="007052A8">
      <w:pPr>
        <w:rPr>
          <w:b/>
          <w:bCs/>
          <w:sz w:val="16"/>
          <w:szCs w:val="16"/>
        </w:rPr>
      </w:pPr>
    </w:p>
    <w:p w14:paraId="3FA91A96" w14:textId="0C4B6AEE" w:rsidR="00CC72FD" w:rsidRDefault="00563E8D" w:rsidP="007052A8">
      <w:pPr>
        <w:rPr>
          <w:b/>
          <w:bCs/>
          <w:sz w:val="24"/>
          <w:szCs w:val="24"/>
        </w:rPr>
      </w:pPr>
      <w:r>
        <w:rPr>
          <w:b/>
          <w:bCs/>
          <w:sz w:val="24"/>
          <w:szCs w:val="24"/>
        </w:rPr>
        <w:t xml:space="preserve">Sparkassenvorstände </w:t>
      </w:r>
      <w:r w:rsidR="005C1F3B">
        <w:rPr>
          <w:b/>
          <w:bCs/>
          <w:sz w:val="24"/>
          <w:szCs w:val="24"/>
        </w:rPr>
        <w:t xml:space="preserve">- </w:t>
      </w:r>
      <w:r>
        <w:rPr>
          <w:b/>
          <w:bCs/>
          <w:sz w:val="24"/>
          <w:szCs w:val="24"/>
        </w:rPr>
        <w:t xml:space="preserve">Vergütung </w:t>
      </w:r>
      <w:r w:rsidR="00CC72FD" w:rsidRPr="00C35E03">
        <w:rPr>
          <w:b/>
          <w:bCs/>
          <w:sz w:val="24"/>
          <w:szCs w:val="24"/>
        </w:rPr>
        <w:t>bei Fusion</w:t>
      </w:r>
      <w:r>
        <w:rPr>
          <w:b/>
          <w:bCs/>
          <w:sz w:val="24"/>
          <w:szCs w:val="24"/>
        </w:rPr>
        <w:t>:</w:t>
      </w:r>
    </w:p>
    <w:p w14:paraId="52B8568C" w14:textId="1AB849A1" w:rsidR="00C35E03" w:rsidRPr="00C35E03" w:rsidRDefault="00C35E03" w:rsidP="007052A8">
      <w:pPr>
        <w:rPr>
          <w:sz w:val="24"/>
          <w:szCs w:val="24"/>
        </w:rPr>
      </w:pPr>
      <w:r w:rsidRPr="00C35E03">
        <w:rPr>
          <w:sz w:val="24"/>
          <w:szCs w:val="24"/>
        </w:rPr>
        <w:t>Dazu werden die Bemessungsgrundlagen beider Sparkassen zusammengezählt</w:t>
      </w:r>
      <w:r w:rsidR="00053A96">
        <w:rPr>
          <w:sz w:val="24"/>
          <w:szCs w:val="24"/>
        </w:rPr>
        <w:t>. Das Ergebnis fällt</w:t>
      </w:r>
      <w:r w:rsidRPr="00C35E03">
        <w:rPr>
          <w:sz w:val="24"/>
          <w:szCs w:val="24"/>
        </w:rPr>
        <w:t xml:space="preserve"> wieder in eine Größenklasse.</w:t>
      </w:r>
    </w:p>
    <w:p w14:paraId="3419E10C" w14:textId="02496E37" w:rsidR="00C35E03" w:rsidRPr="00C35E03" w:rsidRDefault="00C35E03" w:rsidP="007052A8">
      <w:pPr>
        <w:rPr>
          <w:sz w:val="24"/>
          <w:szCs w:val="24"/>
        </w:rPr>
      </w:pPr>
      <w:r w:rsidRPr="00C35E03">
        <w:rPr>
          <w:sz w:val="24"/>
          <w:szCs w:val="24"/>
        </w:rPr>
        <w:t xml:space="preserve">Die untersten Jahresgehälter für die Vorstände (also ohne zusätzliche Vergütungen) </w:t>
      </w:r>
      <w:r w:rsidR="005C1F3B">
        <w:rPr>
          <w:sz w:val="24"/>
          <w:szCs w:val="24"/>
        </w:rPr>
        <w:t xml:space="preserve">bei einer Zielerfüllung von 100% </w:t>
      </w:r>
      <w:r w:rsidRPr="00C35E03">
        <w:rPr>
          <w:sz w:val="24"/>
          <w:szCs w:val="24"/>
        </w:rPr>
        <w:t>betragen:</w:t>
      </w:r>
    </w:p>
    <w:p w14:paraId="7F0EAF32" w14:textId="5615DDA4" w:rsidR="00C35E03" w:rsidRPr="00C35E03" w:rsidRDefault="00C35E03" w:rsidP="007052A8">
      <w:pPr>
        <w:rPr>
          <w:sz w:val="24"/>
          <w:szCs w:val="24"/>
        </w:rPr>
      </w:pPr>
      <w:r w:rsidRPr="00C35E03">
        <w:rPr>
          <w:sz w:val="24"/>
          <w:szCs w:val="24"/>
        </w:rPr>
        <w:t>Größenklasse I</w:t>
      </w:r>
      <w:r w:rsidR="005C1F3B">
        <w:rPr>
          <w:sz w:val="24"/>
          <w:szCs w:val="24"/>
        </w:rPr>
        <w:t>:</w:t>
      </w:r>
      <w:r w:rsidRPr="00C35E03">
        <w:rPr>
          <w:sz w:val="24"/>
          <w:szCs w:val="24"/>
        </w:rPr>
        <w:t xml:space="preserve"> 170.800 €</w:t>
      </w:r>
    </w:p>
    <w:p w14:paraId="51F042F7" w14:textId="1FE4B61F" w:rsidR="00C35E03" w:rsidRPr="00C35E03" w:rsidRDefault="00C35E03" w:rsidP="007052A8">
      <w:pPr>
        <w:rPr>
          <w:sz w:val="24"/>
          <w:szCs w:val="24"/>
        </w:rPr>
      </w:pPr>
      <w:r w:rsidRPr="00C35E03">
        <w:rPr>
          <w:sz w:val="24"/>
          <w:szCs w:val="24"/>
        </w:rPr>
        <w:t>Größenklasse II</w:t>
      </w:r>
      <w:r w:rsidR="005C1F3B">
        <w:rPr>
          <w:sz w:val="24"/>
          <w:szCs w:val="24"/>
        </w:rPr>
        <w:t>:</w:t>
      </w:r>
      <w:r w:rsidRPr="00C35E03">
        <w:rPr>
          <w:sz w:val="24"/>
          <w:szCs w:val="24"/>
        </w:rPr>
        <w:t xml:space="preserve"> 359.800 €</w:t>
      </w:r>
    </w:p>
    <w:p w14:paraId="2E263BB4" w14:textId="242B9011" w:rsidR="00C35E03" w:rsidRPr="00C35E03" w:rsidRDefault="00C35E03" w:rsidP="007052A8">
      <w:pPr>
        <w:rPr>
          <w:sz w:val="24"/>
          <w:szCs w:val="24"/>
        </w:rPr>
      </w:pPr>
      <w:r w:rsidRPr="00C35E03">
        <w:rPr>
          <w:sz w:val="24"/>
          <w:szCs w:val="24"/>
        </w:rPr>
        <w:t>Größenklasse III</w:t>
      </w:r>
      <w:r w:rsidR="005C1F3B">
        <w:rPr>
          <w:sz w:val="24"/>
          <w:szCs w:val="24"/>
        </w:rPr>
        <w:t>:</w:t>
      </w:r>
      <w:r w:rsidRPr="00C35E03">
        <w:rPr>
          <w:sz w:val="24"/>
          <w:szCs w:val="24"/>
        </w:rPr>
        <w:t xml:space="preserve"> 476.800 €</w:t>
      </w:r>
    </w:p>
    <w:p w14:paraId="6C7F2A4D" w14:textId="77777777" w:rsidR="00C35E03" w:rsidRPr="00E975FE" w:rsidRDefault="00C35E03" w:rsidP="007052A8">
      <w:pPr>
        <w:rPr>
          <w:sz w:val="16"/>
          <w:szCs w:val="16"/>
        </w:rPr>
      </w:pPr>
    </w:p>
    <w:p w14:paraId="6BB3410E" w14:textId="6C1BE620" w:rsidR="005C1F3B" w:rsidRDefault="00C35E03" w:rsidP="007052A8">
      <w:pPr>
        <w:rPr>
          <w:sz w:val="24"/>
          <w:szCs w:val="24"/>
        </w:rPr>
      </w:pPr>
      <w:r w:rsidRPr="00C35E03">
        <w:rPr>
          <w:sz w:val="24"/>
          <w:szCs w:val="24"/>
        </w:rPr>
        <w:t xml:space="preserve">Die Sparkassenvorstände fallen nach der Fusion in die </w:t>
      </w:r>
      <w:r w:rsidRPr="00053A96">
        <w:rPr>
          <w:sz w:val="24"/>
          <w:szCs w:val="24"/>
          <w:u w:val="single"/>
        </w:rPr>
        <w:t>Größenklasse II</w:t>
      </w:r>
      <w:r w:rsidRPr="00C35E03">
        <w:rPr>
          <w:sz w:val="24"/>
          <w:szCs w:val="24"/>
        </w:rPr>
        <w:t xml:space="preserve">. </w:t>
      </w:r>
      <w:r w:rsidR="005C1F3B">
        <w:rPr>
          <w:sz w:val="24"/>
          <w:szCs w:val="24"/>
        </w:rPr>
        <w:t>Der Einkommens</w:t>
      </w:r>
      <w:r w:rsidR="005C1F3B">
        <w:rPr>
          <w:sz w:val="24"/>
          <w:szCs w:val="24"/>
        </w:rPr>
        <w:softHyphen/>
        <w:t xml:space="preserve">sprung liegt </w:t>
      </w:r>
      <w:r w:rsidR="0095768E">
        <w:rPr>
          <w:sz w:val="24"/>
          <w:szCs w:val="24"/>
        </w:rPr>
        <w:t>zur Größenklasse I liegt</w:t>
      </w:r>
      <w:r w:rsidR="005C1F3B">
        <w:rPr>
          <w:sz w:val="24"/>
          <w:szCs w:val="24"/>
        </w:rPr>
        <w:t xml:space="preserve"> bei rund 190.000 € jährlich. </w:t>
      </w:r>
    </w:p>
    <w:p w14:paraId="0F89EEB9" w14:textId="77777777" w:rsidR="005C1F3B" w:rsidRPr="0002434C" w:rsidRDefault="005C1F3B" w:rsidP="007052A8">
      <w:pPr>
        <w:rPr>
          <w:sz w:val="16"/>
          <w:szCs w:val="16"/>
        </w:rPr>
      </w:pPr>
    </w:p>
    <w:p w14:paraId="15A566EA" w14:textId="2DF92EB2" w:rsidR="00C35E03" w:rsidRDefault="005C1F3B" w:rsidP="007052A8">
      <w:pPr>
        <w:rPr>
          <w:sz w:val="24"/>
          <w:szCs w:val="24"/>
        </w:rPr>
      </w:pPr>
      <w:r>
        <w:rPr>
          <w:sz w:val="24"/>
          <w:szCs w:val="24"/>
        </w:rPr>
        <w:t>Die fusionierte Sparkasse hat</w:t>
      </w:r>
      <w:r w:rsidR="00C35E03" w:rsidRPr="00C35E03">
        <w:rPr>
          <w:sz w:val="24"/>
          <w:szCs w:val="24"/>
        </w:rPr>
        <w:t xml:space="preserve"> </w:t>
      </w:r>
      <w:r w:rsidR="0095768E">
        <w:rPr>
          <w:sz w:val="24"/>
          <w:szCs w:val="24"/>
        </w:rPr>
        <w:t>einen</w:t>
      </w:r>
      <w:r w:rsidR="00C35E03" w:rsidRPr="00C35E03">
        <w:rPr>
          <w:sz w:val="24"/>
          <w:szCs w:val="24"/>
        </w:rPr>
        <w:t xml:space="preserve"> Vorsitzenden und vier Stellvertreter, da niemand entlassen wird.</w:t>
      </w:r>
      <w:r>
        <w:rPr>
          <w:sz w:val="24"/>
          <w:szCs w:val="24"/>
        </w:rPr>
        <w:t xml:space="preserve"> Die Anpassung an das neue Gehaltsniveau erfolgt allmählich innerhalb von 4 Jahren, damit es nicht so auffällt.</w:t>
      </w:r>
    </w:p>
    <w:p w14:paraId="59ACC54A" w14:textId="77777777" w:rsidR="00B652D5" w:rsidRPr="00E975FE" w:rsidRDefault="00B652D5" w:rsidP="007052A8">
      <w:pPr>
        <w:rPr>
          <w:b/>
          <w:bCs/>
          <w:sz w:val="16"/>
          <w:szCs w:val="16"/>
        </w:rPr>
      </w:pPr>
    </w:p>
    <w:p w14:paraId="1CC4A764" w14:textId="64A99B04" w:rsidR="00563E8D" w:rsidRDefault="00563E8D" w:rsidP="007052A8">
      <w:pPr>
        <w:rPr>
          <w:b/>
          <w:bCs/>
          <w:sz w:val="24"/>
          <w:szCs w:val="24"/>
        </w:rPr>
      </w:pPr>
      <w:r w:rsidRPr="00563E8D">
        <w:rPr>
          <w:b/>
          <w:bCs/>
          <w:sz w:val="24"/>
          <w:szCs w:val="24"/>
        </w:rPr>
        <w:t xml:space="preserve">Verwaltungsratsmitglieder </w:t>
      </w:r>
      <w:r w:rsidR="005C1F3B">
        <w:rPr>
          <w:b/>
          <w:bCs/>
          <w:sz w:val="24"/>
          <w:szCs w:val="24"/>
        </w:rPr>
        <w:t xml:space="preserve">- </w:t>
      </w:r>
      <w:r w:rsidRPr="00563E8D">
        <w:rPr>
          <w:b/>
          <w:bCs/>
          <w:sz w:val="24"/>
          <w:szCs w:val="24"/>
        </w:rPr>
        <w:t>Vergütung bei Fusion</w:t>
      </w:r>
      <w:r w:rsidR="005C1F3B">
        <w:rPr>
          <w:b/>
          <w:bCs/>
          <w:sz w:val="24"/>
          <w:szCs w:val="24"/>
        </w:rPr>
        <w:t>:</w:t>
      </w:r>
    </w:p>
    <w:p w14:paraId="7A6E5FF2" w14:textId="542C5C94" w:rsidR="0095768E" w:rsidRDefault="009A3D1E" w:rsidP="007052A8">
      <w:pPr>
        <w:rPr>
          <w:sz w:val="24"/>
          <w:szCs w:val="24"/>
        </w:rPr>
      </w:pPr>
      <w:r w:rsidRPr="00701BBD">
        <w:rPr>
          <w:sz w:val="24"/>
          <w:szCs w:val="24"/>
        </w:rPr>
        <w:t>Die Vergütung der Verwaltungsräte richtet sich nach der Bemessungsgrundlage</w:t>
      </w:r>
      <w:r w:rsidR="0095768E">
        <w:rPr>
          <w:sz w:val="24"/>
          <w:szCs w:val="24"/>
        </w:rPr>
        <w:t xml:space="preserve"> für Sparkas</w:t>
      </w:r>
      <w:r w:rsidR="00E975FE">
        <w:rPr>
          <w:sz w:val="24"/>
          <w:szCs w:val="24"/>
        </w:rPr>
        <w:softHyphen/>
      </w:r>
      <w:r w:rsidR="0095768E">
        <w:rPr>
          <w:sz w:val="24"/>
          <w:szCs w:val="24"/>
        </w:rPr>
        <w:t>sen</w:t>
      </w:r>
      <w:r w:rsidR="00E975FE">
        <w:rPr>
          <w:sz w:val="24"/>
          <w:szCs w:val="24"/>
        </w:rPr>
        <w:softHyphen/>
      </w:r>
      <w:r w:rsidR="0095768E">
        <w:rPr>
          <w:sz w:val="24"/>
          <w:szCs w:val="24"/>
        </w:rPr>
        <w:t>vorstände. Das Ergebnis</w:t>
      </w:r>
      <w:r w:rsidRPr="00701BBD">
        <w:rPr>
          <w:sz w:val="24"/>
          <w:szCs w:val="24"/>
        </w:rPr>
        <w:t xml:space="preserve"> fällt dann in eine </w:t>
      </w:r>
      <w:r w:rsidR="00701BBD">
        <w:rPr>
          <w:sz w:val="24"/>
          <w:szCs w:val="24"/>
        </w:rPr>
        <w:t xml:space="preserve">von 10 </w:t>
      </w:r>
      <w:r w:rsidRPr="00701BBD">
        <w:rPr>
          <w:sz w:val="24"/>
          <w:szCs w:val="24"/>
        </w:rPr>
        <w:t>Klasse</w:t>
      </w:r>
      <w:r w:rsidR="00701BBD">
        <w:rPr>
          <w:sz w:val="24"/>
          <w:szCs w:val="24"/>
        </w:rPr>
        <w:t xml:space="preserve">n, hier in </w:t>
      </w:r>
      <w:r w:rsidR="00701BBD" w:rsidRPr="0095768E">
        <w:rPr>
          <w:sz w:val="24"/>
          <w:szCs w:val="24"/>
          <w:u w:val="single"/>
        </w:rPr>
        <w:t>Klasse 7</w:t>
      </w:r>
      <w:r w:rsidRPr="0095768E">
        <w:rPr>
          <w:sz w:val="24"/>
          <w:szCs w:val="24"/>
          <w:u w:val="single"/>
        </w:rPr>
        <w:t>.</w:t>
      </w:r>
      <w:r w:rsidRPr="00701BBD">
        <w:rPr>
          <w:sz w:val="24"/>
          <w:szCs w:val="24"/>
        </w:rPr>
        <w:t xml:space="preserve"> </w:t>
      </w:r>
      <w:r w:rsidR="00E975FE">
        <w:rPr>
          <w:sz w:val="24"/>
          <w:szCs w:val="24"/>
        </w:rPr>
        <w:t xml:space="preserve"> vor der Fusion.</w:t>
      </w:r>
    </w:p>
    <w:p w14:paraId="49959EC0" w14:textId="77777777" w:rsidR="0095768E" w:rsidRPr="0002434C" w:rsidRDefault="0095768E" w:rsidP="007052A8">
      <w:pPr>
        <w:rPr>
          <w:sz w:val="16"/>
          <w:szCs w:val="16"/>
        </w:rPr>
      </w:pPr>
    </w:p>
    <w:p w14:paraId="4EB7B0F7" w14:textId="31EA399A" w:rsidR="009A3D1E" w:rsidRDefault="009A3D1E" w:rsidP="007052A8">
      <w:pPr>
        <w:rPr>
          <w:sz w:val="24"/>
          <w:szCs w:val="24"/>
        </w:rPr>
      </w:pPr>
      <w:r w:rsidRPr="00701BBD">
        <w:rPr>
          <w:sz w:val="24"/>
          <w:szCs w:val="24"/>
        </w:rPr>
        <w:t xml:space="preserve">Diese </w:t>
      </w:r>
      <w:r w:rsidR="0095768E">
        <w:rPr>
          <w:sz w:val="24"/>
          <w:szCs w:val="24"/>
        </w:rPr>
        <w:t>Klasse 7 hat</w:t>
      </w:r>
      <w:r w:rsidRPr="00701BBD">
        <w:rPr>
          <w:sz w:val="24"/>
          <w:szCs w:val="24"/>
        </w:rPr>
        <w:t xml:space="preserve"> einen monatlichen (!) Basisbetrag von 2.179,19 €. D.h</w:t>
      </w:r>
      <w:r w:rsidR="0095768E">
        <w:rPr>
          <w:sz w:val="24"/>
          <w:szCs w:val="24"/>
        </w:rPr>
        <w:t>.</w:t>
      </w:r>
      <w:r w:rsidRPr="00701BBD">
        <w:rPr>
          <w:sz w:val="24"/>
          <w:szCs w:val="24"/>
        </w:rPr>
        <w:t xml:space="preserve"> 100% für den Verwaltungsratsvorsitzenden</w:t>
      </w:r>
      <w:r w:rsidR="00701BBD">
        <w:rPr>
          <w:sz w:val="24"/>
          <w:szCs w:val="24"/>
        </w:rPr>
        <w:t xml:space="preserve"> (= 2.179,19 €)</w:t>
      </w:r>
      <w:r w:rsidRPr="00701BBD">
        <w:rPr>
          <w:sz w:val="24"/>
          <w:szCs w:val="24"/>
        </w:rPr>
        <w:t xml:space="preserve">, 75% (= 1.634,39 € mtl.) für die Stellvertreter </w:t>
      </w:r>
      <w:r w:rsidR="00360D59">
        <w:rPr>
          <w:sz w:val="24"/>
          <w:szCs w:val="24"/>
        </w:rPr>
        <w:t xml:space="preserve">und jeweils </w:t>
      </w:r>
      <w:r w:rsidRPr="00701BBD">
        <w:rPr>
          <w:sz w:val="24"/>
          <w:szCs w:val="24"/>
        </w:rPr>
        <w:t>50% (=1.089,60</w:t>
      </w:r>
      <w:r w:rsidR="00701BBD" w:rsidRPr="00701BBD">
        <w:rPr>
          <w:sz w:val="24"/>
          <w:szCs w:val="24"/>
        </w:rPr>
        <w:t xml:space="preserve"> € mtl.) für das einfache Verwaltungsratsmitglied.</w:t>
      </w:r>
    </w:p>
    <w:p w14:paraId="7A956286" w14:textId="4FF1ABF6" w:rsidR="00701BBD" w:rsidRDefault="00701BBD" w:rsidP="007052A8">
      <w:pPr>
        <w:rPr>
          <w:sz w:val="24"/>
          <w:szCs w:val="24"/>
        </w:rPr>
      </w:pPr>
    </w:p>
    <w:p w14:paraId="64501905" w14:textId="5D6EBBCD" w:rsidR="00701BBD" w:rsidRDefault="00701BBD" w:rsidP="007052A8">
      <w:pPr>
        <w:rPr>
          <w:sz w:val="24"/>
          <w:szCs w:val="24"/>
        </w:rPr>
      </w:pPr>
      <w:r>
        <w:rPr>
          <w:sz w:val="24"/>
          <w:szCs w:val="24"/>
        </w:rPr>
        <w:lastRenderedPageBreak/>
        <w:t xml:space="preserve">Nach der Fusion erfolgt die Vergütung nach </w:t>
      </w:r>
      <w:r w:rsidRPr="0095768E">
        <w:rPr>
          <w:sz w:val="24"/>
          <w:szCs w:val="24"/>
          <w:u w:val="single"/>
        </w:rPr>
        <w:t>Klasse 9</w:t>
      </w:r>
      <w:r>
        <w:rPr>
          <w:sz w:val="24"/>
          <w:szCs w:val="24"/>
        </w:rPr>
        <w:t>. Die monatliche</w:t>
      </w:r>
      <w:r w:rsidR="00360D59">
        <w:rPr>
          <w:sz w:val="24"/>
          <w:szCs w:val="24"/>
        </w:rPr>
        <w:t xml:space="preserve"> (!)</w:t>
      </w:r>
      <w:r>
        <w:rPr>
          <w:sz w:val="24"/>
          <w:szCs w:val="24"/>
        </w:rPr>
        <w:t xml:space="preserve"> Vergütung für den Verwaltungsratsvorsitzenden beträgt dann 2.677,14 €, für die Stellvertreter </w:t>
      </w:r>
      <w:r w:rsidR="00360D59">
        <w:rPr>
          <w:sz w:val="24"/>
          <w:szCs w:val="24"/>
        </w:rPr>
        <w:t xml:space="preserve">jeweils </w:t>
      </w:r>
      <w:r>
        <w:rPr>
          <w:sz w:val="24"/>
          <w:szCs w:val="24"/>
        </w:rPr>
        <w:t>2.007,86</w:t>
      </w:r>
      <w:r w:rsidR="00360D59">
        <w:rPr>
          <w:sz w:val="24"/>
          <w:szCs w:val="24"/>
        </w:rPr>
        <w:t xml:space="preserve"> € </w:t>
      </w:r>
      <w:r>
        <w:rPr>
          <w:sz w:val="24"/>
          <w:szCs w:val="24"/>
        </w:rPr>
        <w:t>und für das einfache Verwaltungsratsmitglied 1.338,57 €.</w:t>
      </w:r>
    </w:p>
    <w:p w14:paraId="7C278F2C" w14:textId="14AC73D0" w:rsidR="0041451E" w:rsidRPr="0002434C" w:rsidRDefault="0041451E" w:rsidP="007052A8">
      <w:pPr>
        <w:rPr>
          <w:sz w:val="16"/>
          <w:szCs w:val="16"/>
        </w:rPr>
      </w:pPr>
    </w:p>
    <w:p w14:paraId="36E3AA89" w14:textId="0F631336" w:rsidR="0041451E" w:rsidRDefault="0041451E" w:rsidP="007052A8">
      <w:pPr>
        <w:rPr>
          <w:sz w:val="24"/>
          <w:szCs w:val="24"/>
        </w:rPr>
      </w:pPr>
      <w:r>
        <w:rPr>
          <w:sz w:val="24"/>
          <w:szCs w:val="24"/>
        </w:rPr>
        <w:t>Die „Gehaltserhöhung“ liegt also monatlich zwischen 500 € (Vorsitzender) und 250 € (einfaches Verwaltungsratsmitglied)</w:t>
      </w:r>
    </w:p>
    <w:p w14:paraId="66E4A5E1" w14:textId="6CBC8978" w:rsidR="003F6258" w:rsidRDefault="003F6258" w:rsidP="007052A8">
      <w:pPr>
        <w:rPr>
          <w:sz w:val="24"/>
          <w:szCs w:val="24"/>
        </w:rPr>
      </w:pPr>
    </w:p>
    <w:p w14:paraId="17F2AD8B" w14:textId="770125D5" w:rsidR="003F6258" w:rsidRDefault="003F6258" w:rsidP="007052A8">
      <w:pPr>
        <w:rPr>
          <w:sz w:val="24"/>
          <w:szCs w:val="24"/>
        </w:rPr>
      </w:pPr>
      <w:r>
        <w:rPr>
          <w:sz w:val="24"/>
          <w:szCs w:val="24"/>
        </w:rPr>
        <w:t xml:space="preserve">Nicht dargestellt ist die Tatsache, dass auch die </w:t>
      </w:r>
      <w:r w:rsidRPr="003F6258">
        <w:rPr>
          <w:sz w:val="24"/>
          <w:szCs w:val="24"/>
          <w:u w:val="single"/>
        </w:rPr>
        <w:t>Pensionsvergütungen</w:t>
      </w:r>
      <w:r>
        <w:rPr>
          <w:sz w:val="24"/>
          <w:szCs w:val="24"/>
        </w:rPr>
        <w:t xml:space="preserve"> und  </w:t>
      </w:r>
      <w:r w:rsidRPr="003F6258">
        <w:rPr>
          <w:sz w:val="24"/>
          <w:szCs w:val="24"/>
          <w:u w:val="single"/>
        </w:rPr>
        <w:t>-rückstel</w:t>
      </w:r>
      <w:r w:rsidRPr="003F6258">
        <w:rPr>
          <w:sz w:val="24"/>
          <w:szCs w:val="24"/>
          <w:u w:val="single"/>
        </w:rPr>
        <w:softHyphen/>
        <w:t xml:space="preserve">lungen </w:t>
      </w:r>
      <w:r>
        <w:rPr>
          <w:sz w:val="24"/>
          <w:szCs w:val="24"/>
        </w:rPr>
        <w:t>entsprechend höher werden.</w:t>
      </w:r>
    </w:p>
    <w:p w14:paraId="5C127FD9" w14:textId="4CBF803F" w:rsidR="0041451E" w:rsidRPr="0002434C" w:rsidRDefault="0041451E" w:rsidP="007052A8">
      <w:pPr>
        <w:rPr>
          <w:sz w:val="16"/>
          <w:szCs w:val="16"/>
        </w:rPr>
      </w:pPr>
    </w:p>
    <w:p w14:paraId="69A7D79C" w14:textId="7D98ED70" w:rsidR="0041451E" w:rsidRPr="0041451E" w:rsidRDefault="0041451E" w:rsidP="007052A8">
      <w:pPr>
        <w:rPr>
          <w:b/>
          <w:bCs/>
          <w:sz w:val="24"/>
          <w:szCs w:val="24"/>
        </w:rPr>
      </w:pPr>
      <w:r w:rsidRPr="0041451E">
        <w:rPr>
          <w:b/>
          <w:bCs/>
          <w:sz w:val="24"/>
          <w:szCs w:val="24"/>
        </w:rPr>
        <w:t>Veränderung der Anteile der Träger</w:t>
      </w:r>
    </w:p>
    <w:p w14:paraId="71E00462" w14:textId="7D9A2982" w:rsidR="00B652D5" w:rsidRDefault="0041451E" w:rsidP="007052A8">
      <w:pPr>
        <w:rPr>
          <w:sz w:val="24"/>
          <w:szCs w:val="24"/>
        </w:rPr>
      </w:pPr>
      <w:r>
        <w:rPr>
          <w:sz w:val="24"/>
          <w:szCs w:val="24"/>
        </w:rPr>
        <w:t>Die Träger sind quasi die Eigentümer der Sparkasse. Wenn der Verwaltungsrat es beschließt, so können Gewinnanteile an die Träger ausgeschüttet werden. Die Stadtsparkasse Augsburg hat dies in den vergangenen Jahren regelmäßig getan</w:t>
      </w:r>
      <w:r w:rsidR="00AB55A5">
        <w:rPr>
          <w:sz w:val="24"/>
          <w:szCs w:val="24"/>
        </w:rPr>
        <w:t>. Vom Gewinn 2018 wurden 3,7 Mio. € an die Träger (80% Stadt Augsburg, 20% Stadt Friedberg) ausgeschüttet.</w:t>
      </w:r>
    </w:p>
    <w:p w14:paraId="1E375DF5" w14:textId="4D1C520D" w:rsidR="00AB55A5" w:rsidRPr="0002434C" w:rsidRDefault="00AB55A5" w:rsidP="007052A8">
      <w:pPr>
        <w:rPr>
          <w:sz w:val="16"/>
          <w:szCs w:val="16"/>
        </w:rPr>
      </w:pPr>
    </w:p>
    <w:p w14:paraId="52849297" w14:textId="1A343D2E" w:rsidR="00AB55A5" w:rsidRDefault="00AB55A5" w:rsidP="007052A8">
      <w:pPr>
        <w:rPr>
          <w:sz w:val="24"/>
          <w:szCs w:val="24"/>
        </w:rPr>
      </w:pPr>
      <w:r>
        <w:rPr>
          <w:sz w:val="24"/>
          <w:szCs w:val="24"/>
        </w:rPr>
        <w:t>Durch die Fusion wird die Trägerstruktur verändert. Normalerweise werden die Bilanzsummen als Basis herangezogen.</w:t>
      </w:r>
      <w:r w:rsidR="006A7DB7">
        <w:rPr>
          <w:sz w:val="24"/>
          <w:szCs w:val="24"/>
        </w:rPr>
        <w:t xml:space="preserve"> </w:t>
      </w:r>
    </w:p>
    <w:p w14:paraId="7FDB5489" w14:textId="7B6242DA" w:rsidR="00C84F00" w:rsidRDefault="00C84F00" w:rsidP="007052A8">
      <w:pPr>
        <w:rPr>
          <w:sz w:val="24"/>
          <w:szCs w:val="24"/>
        </w:rPr>
      </w:pPr>
    </w:p>
    <w:tbl>
      <w:tblPr>
        <w:tblW w:w="6379" w:type="dxa"/>
        <w:tblCellMar>
          <w:left w:w="70" w:type="dxa"/>
          <w:right w:w="70" w:type="dxa"/>
        </w:tblCellMar>
        <w:tblLook w:val="04A0" w:firstRow="1" w:lastRow="0" w:firstColumn="1" w:lastColumn="0" w:noHBand="0" w:noVBand="1"/>
      </w:tblPr>
      <w:tblGrid>
        <w:gridCol w:w="1360"/>
        <w:gridCol w:w="2445"/>
        <w:gridCol w:w="946"/>
        <w:gridCol w:w="1628"/>
      </w:tblGrid>
      <w:tr w:rsidR="00C84F00" w:rsidRPr="00C84F00" w14:paraId="1F623227" w14:textId="77777777" w:rsidTr="006A7DB7">
        <w:trPr>
          <w:trHeight w:val="288"/>
        </w:trPr>
        <w:tc>
          <w:tcPr>
            <w:tcW w:w="1360" w:type="dxa"/>
            <w:tcBorders>
              <w:top w:val="nil"/>
              <w:left w:val="nil"/>
              <w:bottom w:val="nil"/>
              <w:right w:val="nil"/>
            </w:tcBorders>
            <w:shd w:val="clear" w:color="auto" w:fill="auto"/>
            <w:noWrap/>
            <w:vAlign w:val="bottom"/>
            <w:hideMark/>
          </w:tcPr>
          <w:p w14:paraId="7642DFED" w14:textId="77777777" w:rsidR="00C84F00" w:rsidRPr="00C84F00" w:rsidRDefault="00C84F00" w:rsidP="00C84F00">
            <w:pPr>
              <w:spacing w:line="240" w:lineRule="auto"/>
              <w:rPr>
                <w:rFonts w:ascii="Calibri" w:eastAsia="Times New Roman" w:hAnsi="Calibri" w:cs="Calibri"/>
                <w:b/>
                <w:bCs/>
                <w:color w:val="000000"/>
                <w:lang w:eastAsia="de-DE"/>
              </w:rPr>
            </w:pPr>
            <w:r w:rsidRPr="00C84F00">
              <w:rPr>
                <w:rFonts w:ascii="Calibri" w:eastAsia="Times New Roman" w:hAnsi="Calibri" w:cs="Calibri"/>
                <w:b/>
                <w:bCs/>
                <w:color w:val="000000"/>
                <w:lang w:eastAsia="de-DE"/>
              </w:rPr>
              <w:t>Bilanzsumme</w:t>
            </w:r>
          </w:p>
        </w:tc>
        <w:tc>
          <w:tcPr>
            <w:tcW w:w="3391" w:type="dxa"/>
            <w:gridSpan w:val="2"/>
            <w:tcBorders>
              <w:top w:val="nil"/>
              <w:left w:val="nil"/>
              <w:bottom w:val="nil"/>
              <w:right w:val="nil"/>
            </w:tcBorders>
            <w:shd w:val="clear" w:color="auto" w:fill="auto"/>
            <w:noWrap/>
            <w:vAlign w:val="bottom"/>
            <w:hideMark/>
          </w:tcPr>
          <w:p w14:paraId="7E9586B2"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 xml:space="preserve">Kreissparkasse Augsburg: </w:t>
            </w:r>
          </w:p>
        </w:tc>
        <w:tc>
          <w:tcPr>
            <w:tcW w:w="1628" w:type="dxa"/>
            <w:tcBorders>
              <w:top w:val="nil"/>
              <w:left w:val="nil"/>
              <w:bottom w:val="nil"/>
              <w:right w:val="nil"/>
            </w:tcBorders>
            <w:shd w:val="clear" w:color="auto" w:fill="auto"/>
            <w:noWrap/>
            <w:vAlign w:val="bottom"/>
            <w:hideMark/>
          </w:tcPr>
          <w:p w14:paraId="495D67C1"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3.705,6 Mio. €</w:t>
            </w:r>
          </w:p>
        </w:tc>
      </w:tr>
      <w:tr w:rsidR="00C84F00" w:rsidRPr="00C84F00" w14:paraId="23BDE7CF" w14:textId="77777777" w:rsidTr="006A7DB7">
        <w:trPr>
          <w:trHeight w:val="288"/>
        </w:trPr>
        <w:tc>
          <w:tcPr>
            <w:tcW w:w="1360" w:type="dxa"/>
            <w:tcBorders>
              <w:top w:val="nil"/>
              <w:left w:val="nil"/>
              <w:bottom w:val="nil"/>
              <w:right w:val="nil"/>
            </w:tcBorders>
            <w:shd w:val="clear" w:color="auto" w:fill="auto"/>
            <w:noWrap/>
            <w:vAlign w:val="bottom"/>
            <w:hideMark/>
          </w:tcPr>
          <w:p w14:paraId="152AD03F" w14:textId="77777777" w:rsidR="00C84F00" w:rsidRPr="00C84F00" w:rsidRDefault="00C84F00" w:rsidP="00C84F00">
            <w:pPr>
              <w:spacing w:line="240" w:lineRule="auto"/>
              <w:rPr>
                <w:rFonts w:ascii="Calibri" w:eastAsia="Times New Roman" w:hAnsi="Calibri" w:cs="Calibri"/>
                <w:color w:val="000000"/>
                <w:lang w:eastAsia="de-DE"/>
              </w:rPr>
            </w:pPr>
          </w:p>
        </w:tc>
        <w:tc>
          <w:tcPr>
            <w:tcW w:w="3391" w:type="dxa"/>
            <w:gridSpan w:val="2"/>
            <w:tcBorders>
              <w:top w:val="nil"/>
              <w:left w:val="nil"/>
              <w:bottom w:val="nil"/>
              <w:right w:val="nil"/>
            </w:tcBorders>
            <w:shd w:val="clear" w:color="auto" w:fill="auto"/>
            <w:noWrap/>
            <w:vAlign w:val="bottom"/>
            <w:hideMark/>
          </w:tcPr>
          <w:p w14:paraId="2683BEB4"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Sparkasse MM-LI-MN</w:t>
            </w:r>
          </w:p>
        </w:tc>
        <w:tc>
          <w:tcPr>
            <w:tcW w:w="1628" w:type="dxa"/>
            <w:tcBorders>
              <w:top w:val="nil"/>
              <w:left w:val="nil"/>
              <w:bottom w:val="nil"/>
              <w:right w:val="nil"/>
            </w:tcBorders>
            <w:shd w:val="clear" w:color="auto" w:fill="auto"/>
            <w:noWrap/>
            <w:vAlign w:val="bottom"/>
            <w:hideMark/>
          </w:tcPr>
          <w:p w14:paraId="2737D39D"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 xml:space="preserve">4.498,9 Mio. € </w:t>
            </w:r>
          </w:p>
        </w:tc>
      </w:tr>
      <w:tr w:rsidR="00C84F00" w:rsidRPr="00C84F00" w14:paraId="3159E380" w14:textId="77777777" w:rsidTr="006A7DB7">
        <w:trPr>
          <w:trHeight w:val="288"/>
        </w:trPr>
        <w:tc>
          <w:tcPr>
            <w:tcW w:w="1360" w:type="dxa"/>
            <w:tcBorders>
              <w:top w:val="nil"/>
              <w:left w:val="nil"/>
              <w:bottom w:val="nil"/>
              <w:right w:val="nil"/>
            </w:tcBorders>
            <w:shd w:val="clear" w:color="auto" w:fill="auto"/>
            <w:noWrap/>
            <w:vAlign w:val="bottom"/>
            <w:hideMark/>
          </w:tcPr>
          <w:p w14:paraId="4772A566" w14:textId="77777777" w:rsidR="00C84F00" w:rsidRPr="00C84F00" w:rsidRDefault="00C84F00" w:rsidP="00C84F00">
            <w:pPr>
              <w:spacing w:line="240" w:lineRule="auto"/>
              <w:rPr>
                <w:rFonts w:ascii="Calibri" w:eastAsia="Times New Roman" w:hAnsi="Calibri" w:cs="Calibri"/>
                <w:color w:val="000000"/>
                <w:lang w:eastAsia="de-DE"/>
              </w:rPr>
            </w:pPr>
          </w:p>
        </w:tc>
        <w:tc>
          <w:tcPr>
            <w:tcW w:w="2445" w:type="dxa"/>
            <w:tcBorders>
              <w:top w:val="nil"/>
              <w:left w:val="nil"/>
              <w:bottom w:val="nil"/>
              <w:right w:val="nil"/>
            </w:tcBorders>
            <w:shd w:val="clear" w:color="auto" w:fill="auto"/>
            <w:noWrap/>
            <w:vAlign w:val="bottom"/>
            <w:hideMark/>
          </w:tcPr>
          <w:p w14:paraId="1440128C" w14:textId="77777777" w:rsidR="00C84F00" w:rsidRPr="00C84F00" w:rsidRDefault="00C84F00" w:rsidP="00C84F00">
            <w:pPr>
              <w:spacing w:line="240" w:lineRule="auto"/>
              <w:rPr>
                <w:rFonts w:ascii="Calibri" w:eastAsia="Times New Roman" w:hAnsi="Calibri" w:cs="Calibri"/>
                <w:b/>
                <w:bCs/>
                <w:color w:val="000000"/>
                <w:lang w:eastAsia="de-DE"/>
              </w:rPr>
            </w:pPr>
            <w:r w:rsidRPr="00C84F00">
              <w:rPr>
                <w:rFonts w:ascii="Calibri" w:eastAsia="Times New Roman" w:hAnsi="Calibri" w:cs="Calibri"/>
                <w:b/>
                <w:bCs/>
                <w:color w:val="000000"/>
                <w:lang w:eastAsia="de-DE"/>
              </w:rPr>
              <w:t>Summe</w:t>
            </w:r>
          </w:p>
        </w:tc>
        <w:tc>
          <w:tcPr>
            <w:tcW w:w="946" w:type="dxa"/>
            <w:tcBorders>
              <w:top w:val="nil"/>
              <w:left w:val="nil"/>
              <w:bottom w:val="nil"/>
              <w:right w:val="nil"/>
            </w:tcBorders>
            <w:shd w:val="clear" w:color="auto" w:fill="auto"/>
            <w:noWrap/>
            <w:vAlign w:val="bottom"/>
            <w:hideMark/>
          </w:tcPr>
          <w:p w14:paraId="79144C30" w14:textId="77777777" w:rsidR="00C84F00" w:rsidRPr="00C84F00" w:rsidRDefault="00C84F00" w:rsidP="00C84F00">
            <w:pPr>
              <w:spacing w:line="240" w:lineRule="auto"/>
              <w:rPr>
                <w:rFonts w:ascii="Calibri" w:eastAsia="Times New Roman" w:hAnsi="Calibri" w:cs="Calibri"/>
                <w:b/>
                <w:bCs/>
                <w:color w:val="000000"/>
                <w:lang w:eastAsia="de-DE"/>
              </w:rPr>
            </w:pPr>
          </w:p>
        </w:tc>
        <w:tc>
          <w:tcPr>
            <w:tcW w:w="1628" w:type="dxa"/>
            <w:tcBorders>
              <w:top w:val="nil"/>
              <w:left w:val="nil"/>
              <w:bottom w:val="nil"/>
              <w:right w:val="nil"/>
            </w:tcBorders>
            <w:shd w:val="clear" w:color="auto" w:fill="auto"/>
            <w:noWrap/>
            <w:vAlign w:val="bottom"/>
            <w:hideMark/>
          </w:tcPr>
          <w:p w14:paraId="1ABBCAA5" w14:textId="77777777" w:rsidR="00C84F00" w:rsidRPr="00C84F00" w:rsidRDefault="00C84F00" w:rsidP="00C84F00">
            <w:pPr>
              <w:spacing w:line="240" w:lineRule="auto"/>
              <w:rPr>
                <w:rFonts w:ascii="Calibri" w:eastAsia="Times New Roman" w:hAnsi="Calibri" w:cs="Calibri"/>
                <w:b/>
                <w:bCs/>
                <w:color w:val="000000"/>
                <w:lang w:eastAsia="de-DE"/>
              </w:rPr>
            </w:pPr>
            <w:r w:rsidRPr="00C84F00">
              <w:rPr>
                <w:rFonts w:ascii="Calibri" w:eastAsia="Times New Roman" w:hAnsi="Calibri" w:cs="Calibri"/>
                <w:b/>
                <w:bCs/>
                <w:color w:val="000000"/>
                <w:lang w:eastAsia="de-DE"/>
              </w:rPr>
              <w:t>8.2304,5 Mio. €</w:t>
            </w:r>
          </w:p>
        </w:tc>
      </w:tr>
      <w:tr w:rsidR="00C84F00" w:rsidRPr="00C84F00" w14:paraId="729B99FD" w14:textId="77777777" w:rsidTr="006A7DB7">
        <w:trPr>
          <w:trHeight w:val="288"/>
        </w:trPr>
        <w:tc>
          <w:tcPr>
            <w:tcW w:w="1360" w:type="dxa"/>
            <w:tcBorders>
              <w:top w:val="nil"/>
              <w:left w:val="nil"/>
              <w:bottom w:val="nil"/>
              <w:right w:val="nil"/>
            </w:tcBorders>
            <w:shd w:val="clear" w:color="auto" w:fill="auto"/>
            <w:noWrap/>
            <w:vAlign w:val="bottom"/>
            <w:hideMark/>
          </w:tcPr>
          <w:p w14:paraId="60796AE2" w14:textId="77777777" w:rsidR="00C84F00" w:rsidRPr="00C84F00" w:rsidRDefault="00C84F00" w:rsidP="00C84F00">
            <w:pPr>
              <w:spacing w:line="240" w:lineRule="auto"/>
              <w:rPr>
                <w:rFonts w:ascii="Calibri" w:eastAsia="Times New Roman" w:hAnsi="Calibri" w:cs="Calibri"/>
                <w:b/>
                <w:bCs/>
                <w:color w:val="000000"/>
                <w:lang w:eastAsia="de-DE"/>
              </w:rPr>
            </w:pPr>
          </w:p>
        </w:tc>
        <w:tc>
          <w:tcPr>
            <w:tcW w:w="2445" w:type="dxa"/>
            <w:tcBorders>
              <w:top w:val="nil"/>
              <w:left w:val="nil"/>
              <w:bottom w:val="nil"/>
              <w:right w:val="nil"/>
            </w:tcBorders>
            <w:shd w:val="clear" w:color="auto" w:fill="auto"/>
            <w:noWrap/>
            <w:vAlign w:val="bottom"/>
            <w:hideMark/>
          </w:tcPr>
          <w:p w14:paraId="2D064196"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946" w:type="dxa"/>
            <w:tcBorders>
              <w:top w:val="nil"/>
              <w:left w:val="nil"/>
              <w:bottom w:val="nil"/>
              <w:right w:val="nil"/>
            </w:tcBorders>
            <w:shd w:val="clear" w:color="auto" w:fill="auto"/>
            <w:noWrap/>
            <w:vAlign w:val="bottom"/>
            <w:hideMark/>
          </w:tcPr>
          <w:p w14:paraId="640ED708"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1628" w:type="dxa"/>
            <w:tcBorders>
              <w:top w:val="nil"/>
              <w:left w:val="nil"/>
              <w:bottom w:val="nil"/>
              <w:right w:val="nil"/>
            </w:tcBorders>
            <w:shd w:val="clear" w:color="auto" w:fill="auto"/>
            <w:noWrap/>
            <w:vAlign w:val="bottom"/>
            <w:hideMark/>
          </w:tcPr>
          <w:p w14:paraId="285C28F2"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r>
      <w:tr w:rsidR="00C84F00" w:rsidRPr="00C84F00" w14:paraId="5F599D39" w14:textId="77777777" w:rsidTr="006A7DB7">
        <w:trPr>
          <w:trHeight w:val="288"/>
        </w:trPr>
        <w:tc>
          <w:tcPr>
            <w:tcW w:w="1360" w:type="dxa"/>
            <w:tcBorders>
              <w:top w:val="nil"/>
              <w:left w:val="nil"/>
              <w:bottom w:val="nil"/>
              <w:right w:val="nil"/>
            </w:tcBorders>
            <w:shd w:val="clear" w:color="auto" w:fill="auto"/>
            <w:noWrap/>
            <w:vAlign w:val="bottom"/>
            <w:hideMark/>
          </w:tcPr>
          <w:p w14:paraId="566F6317"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3391" w:type="dxa"/>
            <w:gridSpan w:val="2"/>
            <w:tcBorders>
              <w:top w:val="nil"/>
              <w:left w:val="nil"/>
              <w:bottom w:val="nil"/>
              <w:right w:val="nil"/>
            </w:tcBorders>
            <w:shd w:val="clear" w:color="auto" w:fill="auto"/>
            <w:noWrap/>
            <w:vAlign w:val="bottom"/>
            <w:hideMark/>
          </w:tcPr>
          <w:p w14:paraId="0A393DA7"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Anteil Augsburg:</w:t>
            </w:r>
          </w:p>
        </w:tc>
        <w:tc>
          <w:tcPr>
            <w:tcW w:w="1628" w:type="dxa"/>
            <w:tcBorders>
              <w:top w:val="nil"/>
              <w:left w:val="nil"/>
              <w:bottom w:val="nil"/>
              <w:right w:val="nil"/>
            </w:tcBorders>
            <w:shd w:val="clear" w:color="auto" w:fill="auto"/>
            <w:noWrap/>
            <w:vAlign w:val="bottom"/>
            <w:hideMark/>
          </w:tcPr>
          <w:p w14:paraId="50FEF068"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45,2%</w:t>
            </w:r>
          </w:p>
        </w:tc>
      </w:tr>
      <w:tr w:rsidR="00C84F00" w:rsidRPr="00C84F00" w14:paraId="5EFDACB2" w14:textId="77777777" w:rsidTr="006A7DB7">
        <w:trPr>
          <w:trHeight w:val="288"/>
        </w:trPr>
        <w:tc>
          <w:tcPr>
            <w:tcW w:w="1360" w:type="dxa"/>
            <w:tcBorders>
              <w:top w:val="nil"/>
              <w:left w:val="nil"/>
              <w:bottom w:val="nil"/>
              <w:right w:val="nil"/>
            </w:tcBorders>
            <w:shd w:val="clear" w:color="auto" w:fill="auto"/>
            <w:noWrap/>
            <w:vAlign w:val="bottom"/>
            <w:hideMark/>
          </w:tcPr>
          <w:p w14:paraId="0BF16C93"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3391" w:type="dxa"/>
            <w:gridSpan w:val="2"/>
            <w:tcBorders>
              <w:top w:val="nil"/>
              <w:left w:val="nil"/>
              <w:bottom w:val="nil"/>
              <w:right w:val="nil"/>
            </w:tcBorders>
            <w:shd w:val="clear" w:color="auto" w:fill="auto"/>
            <w:noWrap/>
            <w:vAlign w:val="bottom"/>
            <w:hideMark/>
          </w:tcPr>
          <w:p w14:paraId="47DF0736"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Anteil MM-LI-MN</w:t>
            </w:r>
          </w:p>
        </w:tc>
        <w:tc>
          <w:tcPr>
            <w:tcW w:w="1628" w:type="dxa"/>
            <w:tcBorders>
              <w:top w:val="nil"/>
              <w:left w:val="nil"/>
              <w:bottom w:val="nil"/>
              <w:right w:val="nil"/>
            </w:tcBorders>
            <w:shd w:val="clear" w:color="auto" w:fill="auto"/>
            <w:noWrap/>
            <w:vAlign w:val="bottom"/>
            <w:hideMark/>
          </w:tcPr>
          <w:p w14:paraId="52248B37"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54,8%</w:t>
            </w:r>
          </w:p>
        </w:tc>
      </w:tr>
      <w:tr w:rsidR="00C84F00" w:rsidRPr="00C84F00" w14:paraId="72431E19" w14:textId="77777777" w:rsidTr="006A7DB7">
        <w:trPr>
          <w:trHeight w:val="288"/>
        </w:trPr>
        <w:tc>
          <w:tcPr>
            <w:tcW w:w="1360" w:type="dxa"/>
            <w:tcBorders>
              <w:top w:val="nil"/>
              <w:left w:val="nil"/>
              <w:bottom w:val="nil"/>
              <w:right w:val="nil"/>
            </w:tcBorders>
            <w:shd w:val="clear" w:color="auto" w:fill="auto"/>
            <w:noWrap/>
            <w:vAlign w:val="bottom"/>
            <w:hideMark/>
          </w:tcPr>
          <w:p w14:paraId="44D72233"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nil"/>
              <w:left w:val="nil"/>
              <w:bottom w:val="nil"/>
              <w:right w:val="nil"/>
            </w:tcBorders>
            <w:shd w:val="clear" w:color="auto" w:fill="auto"/>
            <w:noWrap/>
            <w:vAlign w:val="bottom"/>
            <w:hideMark/>
          </w:tcPr>
          <w:p w14:paraId="0C47C9D5"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Summe</w:t>
            </w:r>
          </w:p>
        </w:tc>
        <w:tc>
          <w:tcPr>
            <w:tcW w:w="946" w:type="dxa"/>
            <w:tcBorders>
              <w:top w:val="nil"/>
              <w:left w:val="nil"/>
              <w:bottom w:val="nil"/>
              <w:right w:val="nil"/>
            </w:tcBorders>
            <w:shd w:val="clear" w:color="auto" w:fill="auto"/>
            <w:noWrap/>
            <w:vAlign w:val="bottom"/>
            <w:hideMark/>
          </w:tcPr>
          <w:p w14:paraId="3916B8E9" w14:textId="77777777" w:rsidR="00C84F00" w:rsidRPr="00C84F00" w:rsidRDefault="00C84F00" w:rsidP="00C84F00">
            <w:pPr>
              <w:spacing w:line="240" w:lineRule="auto"/>
              <w:rPr>
                <w:rFonts w:ascii="Calibri" w:eastAsia="Times New Roman" w:hAnsi="Calibri" w:cs="Calibri"/>
                <w:color w:val="000000"/>
                <w:lang w:eastAsia="de-DE"/>
              </w:rPr>
            </w:pPr>
          </w:p>
        </w:tc>
        <w:tc>
          <w:tcPr>
            <w:tcW w:w="1628" w:type="dxa"/>
            <w:tcBorders>
              <w:top w:val="nil"/>
              <w:left w:val="nil"/>
              <w:bottom w:val="nil"/>
              <w:right w:val="nil"/>
            </w:tcBorders>
            <w:shd w:val="clear" w:color="auto" w:fill="auto"/>
            <w:noWrap/>
            <w:vAlign w:val="bottom"/>
            <w:hideMark/>
          </w:tcPr>
          <w:p w14:paraId="37C095E4"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100,0%</w:t>
            </w:r>
          </w:p>
        </w:tc>
      </w:tr>
      <w:tr w:rsidR="00C84F00" w:rsidRPr="00C84F00" w14:paraId="6D5D52F7" w14:textId="77777777" w:rsidTr="006A7DB7">
        <w:trPr>
          <w:trHeight w:val="288"/>
        </w:trPr>
        <w:tc>
          <w:tcPr>
            <w:tcW w:w="1360" w:type="dxa"/>
            <w:tcBorders>
              <w:top w:val="nil"/>
              <w:left w:val="nil"/>
              <w:bottom w:val="nil"/>
              <w:right w:val="nil"/>
            </w:tcBorders>
            <w:shd w:val="clear" w:color="auto" w:fill="auto"/>
            <w:noWrap/>
            <w:vAlign w:val="bottom"/>
            <w:hideMark/>
          </w:tcPr>
          <w:p w14:paraId="13E68FDC"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nil"/>
              <w:left w:val="nil"/>
              <w:bottom w:val="nil"/>
              <w:right w:val="nil"/>
            </w:tcBorders>
            <w:shd w:val="clear" w:color="auto" w:fill="auto"/>
            <w:noWrap/>
            <w:vAlign w:val="bottom"/>
            <w:hideMark/>
          </w:tcPr>
          <w:p w14:paraId="0F299842"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946" w:type="dxa"/>
            <w:tcBorders>
              <w:top w:val="nil"/>
              <w:left w:val="nil"/>
              <w:bottom w:val="nil"/>
              <w:right w:val="nil"/>
            </w:tcBorders>
            <w:shd w:val="clear" w:color="auto" w:fill="auto"/>
            <w:noWrap/>
            <w:vAlign w:val="bottom"/>
            <w:hideMark/>
          </w:tcPr>
          <w:p w14:paraId="49C2CB55"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1628" w:type="dxa"/>
            <w:tcBorders>
              <w:top w:val="nil"/>
              <w:left w:val="nil"/>
              <w:bottom w:val="nil"/>
              <w:right w:val="nil"/>
            </w:tcBorders>
            <w:shd w:val="clear" w:color="auto" w:fill="auto"/>
            <w:noWrap/>
            <w:vAlign w:val="bottom"/>
            <w:hideMark/>
          </w:tcPr>
          <w:p w14:paraId="50FF4DED"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r>
      <w:tr w:rsidR="00C84F00" w:rsidRPr="00C84F00" w14:paraId="55C9132E" w14:textId="77777777" w:rsidTr="006A7DB7">
        <w:trPr>
          <w:trHeight w:val="288"/>
        </w:trPr>
        <w:tc>
          <w:tcPr>
            <w:tcW w:w="6379" w:type="dxa"/>
            <w:gridSpan w:val="4"/>
            <w:tcBorders>
              <w:top w:val="nil"/>
              <w:left w:val="nil"/>
              <w:bottom w:val="nil"/>
              <w:right w:val="nil"/>
            </w:tcBorders>
            <w:shd w:val="clear" w:color="auto" w:fill="auto"/>
            <w:noWrap/>
            <w:vAlign w:val="bottom"/>
            <w:hideMark/>
          </w:tcPr>
          <w:p w14:paraId="3044ADB7" w14:textId="66722959" w:rsidR="00C84F00" w:rsidRPr="00C84F00" w:rsidRDefault="00C84F00" w:rsidP="00C84F00">
            <w:pPr>
              <w:spacing w:line="240" w:lineRule="auto"/>
              <w:rPr>
                <w:rFonts w:ascii="Calibri" w:eastAsia="Times New Roman" w:hAnsi="Calibri" w:cs="Calibri"/>
                <w:b/>
                <w:bCs/>
                <w:color w:val="000000"/>
                <w:lang w:eastAsia="de-DE"/>
              </w:rPr>
            </w:pPr>
            <w:r w:rsidRPr="00C84F00">
              <w:rPr>
                <w:rFonts w:ascii="Calibri" w:eastAsia="Times New Roman" w:hAnsi="Calibri" w:cs="Calibri"/>
                <w:b/>
                <w:bCs/>
                <w:color w:val="000000"/>
                <w:lang w:eastAsia="de-DE"/>
              </w:rPr>
              <w:t>Gewichtung der Anteile der Träger alt und neu</w:t>
            </w:r>
            <w:r>
              <w:rPr>
                <w:rFonts w:ascii="Calibri" w:eastAsia="Times New Roman" w:hAnsi="Calibri" w:cs="Calibri"/>
                <w:b/>
                <w:bCs/>
                <w:color w:val="000000"/>
                <w:lang w:eastAsia="de-DE"/>
              </w:rPr>
              <w:t>:</w:t>
            </w:r>
          </w:p>
        </w:tc>
      </w:tr>
      <w:tr w:rsidR="00C84F00" w:rsidRPr="00C84F00" w14:paraId="4693D513" w14:textId="77777777" w:rsidTr="006A7DB7">
        <w:trPr>
          <w:trHeight w:val="300"/>
        </w:trPr>
        <w:tc>
          <w:tcPr>
            <w:tcW w:w="1360" w:type="dxa"/>
            <w:tcBorders>
              <w:top w:val="nil"/>
              <w:left w:val="nil"/>
              <w:bottom w:val="nil"/>
              <w:right w:val="nil"/>
            </w:tcBorders>
            <w:shd w:val="clear" w:color="auto" w:fill="auto"/>
            <w:noWrap/>
            <w:vAlign w:val="bottom"/>
            <w:hideMark/>
          </w:tcPr>
          <w:p w14:paraId="1DF1B36A" w14:textId="77777777" w:rsidR="00C84F00" w:rsidRPr="00C84F00" w:rsidRDefault="00C84F00" w:rsidP="00C84F00">
            <w:pPr>
              <w:spacing w:line="240" w:lineRule="auto"/>
              <w:rPr>
                <w:rFonts w:ascii="Calibri" w:eastAsia="Times New Roman" w:hAnsi="Calibri" w:cs="Calibri"/>
                <w:b/>
                <w:bCs/>
                <w:color w:val="000000"/>
                <w:lang w:eastAsia="de-DE"/>
              </w:rPr>
            </w:pPr>
          </w:p>
        </w:tc>
        <w:tc>
          <w:tcPr>
            <w:tcW w:w="2445" w:type="dxa"/>
            <w:tcBorders>
              <w:top w:val="nil"/>
              <w:left w:val="nil"/>
              <w:bottom w:val="nil"/>
              <w:right w:val="nil"/>
            </w:tcBorders>
            <w:shd w:val="clear" w:color="auto" w:fill="auto"/>
            <w:noWrap/>
            <w:vAlign w:val="bottom"/>
            <w:hideMark/>
          </w:tcPr>
          <w:p w14:paraId="5C7CABF8"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946" w:type="dxa"/>
            <w:tcBorders>
              <w:top w:val="nil"/>
              <w:left w:val="nil"/>
              <w:bottom w:val="nil"/>
              <w:right w:val="nil"/>
            </w:tcBorders>
            <w:shd w:val="clear" w:color="auto" w:fill="auto"/>
            <w:noWrap/>
            <w:vAlign w:val="bottom"/>
            <w:hideMark/>
          </w:tcPr>
          <w:p w14:paraId="35DE275B"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1628" w:type="dxa"/>
            <w:tcBorders>
              <w:top w:val="nil"/>
              <w:left w:val="nil"/>
              <w:bottom w:val="nil"/>
              <w:right w:val="nil"/>
            </w:tcBorders>
            <w:shd w:val="clear" w:color="auto" w:fill="auto"/>
            <w:noWrap/>
            <w:vAlign w:val="bottom"/>
            <w:hideMark/>
          </w:tcPr>
          <w:p w14:paraId="269894DE"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r>
      <w:tr w:rsidR="00C84F00" w:rsidRPr="00C84F00" w14:paraId="5D0DA679" w14:textId="77777777" w:rsidTr="006A7DB7">
        <w:trPr>
          <w:trHeight w:val="288"/>
        </w:trPr>
        <w:tc>
          <w:tcPr>
            <w:tcW w:w="1360" w:type="dxa"/>
            <w:tcBorders>
              <w:top w:val="nil"/>
              <w:left w:val="nil"/>
              <w:bottom w:val="nil"/>
              <w:right w:val="nil"/>
            </w:tcBorders>
            <w:shd w:val="clear" w:color="auto" w:fill="auto"/>
            <w:noWrap/>
            <w:vAlign w:val="bottom"/>
            <w:hideMark/>
          </w:tcPr>
          <w:p w14:paraId="30621E3C" w14:textId="77777777" w:rsidR="00C84F00" w:rsidRPr="00C84F00" w:rsidRDefault="00C84F00" w:rsidP="00C84F00">
            <w:pPr>
              <w:spacing w:line="240" w:lineRule="auto"/>
              <w:rPr>
                <w:rFonts w:ascii="Times New Roman" w:eastAsia="Times New Roman" w:hAnsi="Times New Roman" w:cs="Times New Roman"/>
                <w:sz w:val="20"/>
                <w:szCs w:val="20"/>
                <w:lang w:eastAsia="de-DE"/>
              </w:rPr>
            </w:pPr>
          </w:p>
        </w:tc>
        <w:tc>
          <w:tcPr>
            <w:tcW w:w="2445" w:type="dxa"/>
            <w:tcBorders>
              <w:top w:val="single" w:sz="8" w:space="0" w:color="auto"/>
              <w:left w:val="single" w:sz="8" w:space="0" w:color="auto"/>
              <w:bottom w:val="nil"/>
              <w:right w:val="single" w:sz="8" w:space="0" w:color="auto"/>
            </w:tcBorders>
            <w:shd w:val="clear" w:color="auto" w:fill="auto"/>
            <w:noWrap/>
            <w:vAlign w:val="bottom"/>
            <w:hideMark/>
          </w:tcPr>
          <w:p w14:paraId="3F2E9F97"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 </w:t>
            </w:r>
          </w:p>
        </w:tc>
        <w:tc>
          <w:tcPr>
            <w:tcW w:w="946" w:type="dxa"/>
            <w:tcBorders>
              <w:top w:val="single" w:sz="8" w:space="0" w:color="auto"/>
              <w:left w:val="nil"/>
              <w:bottom w:val="nil"/>
              <w:right w:val="nil"/>
            </w:tcBorders>
            <w:shd w:val="clear" w:color="auto" w:fill="auto"/>
            <w:noWrap/>
            <w:vAlign w:val="bottom"/>
            <w:hideMark/>
          </w:tcPr>
          <w:p w14:paraId="7AAD3BBE"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Anteile alt</w:t>
            </w:r>
          </w:p>
        </w:tc>
        <w:tc>
          <w:tcPr>
            <w:tcW w:w="1628" w:type="dxa"/>
            <w:tcBorders>
              <w:top w:val="single" w:sz="8" w:space="0" w:color="auto"/>
              <w:left w:val="single" w:sz="8" w:space="0" w:color="auto"/>
              <w:bottom w:val="nil"/>
              <w:right w:val="single" w:sz="8" w:space="0" w:color="auto"/>
            </w:tcBorders>
            <w:shd w:val="clear" w:color="auto" w:fill="auto"/>
            <w:noWrap/>
            <w:vAlign w:val="bottom"/>
            <w:hideMark/>
          </w:tcPr>
          <w:p w14:paraId="62D9EAB2"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Anteile neu</w:t>
            </w:r>
          </w:p>
        </w:tc>
      </w:tr>
      <w:tr w:rsidR="00C84F00" w:rsidRPr="00C84F00" w14:paraId="09DF04E7" w14:textId="77777777" w:rsidTr="006A7DB7">
        <w:trPr>
          <w:trHeight w:val="300"/>
        </w:trPr>
        <w:tc>
          <w:tcPr>
            <w:tcW w:w="1360" w:type="dxa"/>
            <w:tcBorders>
              <w:top w:val="nil"/>
              <w:left w:val="nil"/>
              <w:bottom w:val="nil"/>
              <w:right w:val="nil"/>
            </w:tcBorders>
            <w:shd w:val="clear" w:color="auto" w:fill="auto"/>
            <w:noWrap/>
            <w:vAlign w:val="bottom"/>
            <w:hideMark/>
          </w:tcPr>
          <w:p w14:paraId="6FB85ACD" w14:textId="77777777" w:rsidR="00C84F00" w:rsidRPr="00C84F00" w:rsidRDefault="00C84F00" w:rsidP="00C84F00">
            <w:pPr>
              <w:spacing w:line="240" w:lineRule="auto"/>
              <w:rPr>
                <w:rFonts w:ascii="Calibri" w:eastAsia="Times New Roman" w:hAnsi="Calibri" w:cs="Calibri"/>
                <w:color w:val="000000"/>
                <w:lang w:eastAsia="de-DE"/>
              </w:rPr>
            </w:pPr>
          </w:p>
        </w:tc>
        <w:tc>
          <w:tcPr>
            <w:tcW w:w="2445" w:type="dxa"/>
            <w:tcBorders>
              <w:top w:val="nil"/>
              <w:left w:val="single" w:sz="8" w:space="0" w:color="auto"/>
              <w:bottom w:val="single" w:sz="8" w:space="0" w:color="auto"/>
              <w:right w:val="single" w:sz="8" w:space="0" w:color="auto"/>
            </w:tcBorders>
            <w:shd w:val="clear" w:color="auto" w:fill="auto"/>
            <w:noWrap/>
            <w:vAlign w:val="bottom"/>
            <w:hideMark/>
          </w:tcPr>
          <w:p w14:paraId="0E806B6D" w14:textId="77777777" w:rsidR="00C84F00" w:rsidRPr="00C84F00" w:rsidRDefault="00C84F00" w:rsidP="00C84F00">
            <w:pPr>
              <w:spacing w:line="240" w:lineRule="auto"/>
              <w:rPr>
                <w:rFonts w:ascii="Calibri" w:eastAsia="Times New Roman" w:hAnsi="Calibri" w:cs="Calibri"/>
                <w:b/>
                <w:bCs/>
                <w:color w:val="000000"/>
                <w:lang w:eastAsia="de-DE"/>
              </w:rPr>
            </w:pPr>
            <w:r w:rsidRPr="00C84F00">
              <w:rPr>
                <w:rFonts w:ascii="Calibri" w:eastAsia="Times New Roman" w:hAnsi="Calibri" w:cs="Calibri"/>
                <w:b/>
                <w:bCs/>
                <w:color w:val="000000"/>
                <w:lang w:eastAsia="de-DE"/>
              </w:rPr>
              <w:t>Träger:</w:t>
            </w:r>
          </w:p>
        </w:tc>
        <w:tc>
          <w:tcPr>
            <w:tcW w:w="946" w:type="dxa"/>
            <w:tcBorders>
              <w:top w:val="nil"/>
              <w:left w:val="nil"/>
              <w:bottom w:val="nil"/>
              <w:right w:val="nil"/>
            </w:tcBorders>
            <w:shd w:val="clear" w:color="auto" w:fill="auto"/>
            <w:noWrap/>
            <w:vAlign w:val="bottom"/>
            <w:hideMark/>
          </w:tcPr>
          <w:p w14:paraId="6FA5FF4C"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 </w:t>
            </w:r>
          </w:p>
        </w:tc>
        <w:tc>
          <w:tcPr>
            <w:tcW w:w="1628" w:type="dxa"/>
            <w:tcBorders>
              <w:top w:val="nil"/>
              <w:left w:val="single" w:sz="8" w:space="0" w:color="auto"/>
              <w:bottom w:val="nil"/>
              <w:right w:val="single" w:sz="8" w:space="0" w:color="auto"/>
            </w:tcBorders>
            <w:shd w:val="clear" w:color="auto" w:fill="auto"/>
            <w:noWrap/>
            <w:vAlign w:val="bottom"/>
            <w:hideMark/>
          </w:tcPr>
          <w:p w14:paraId="4E400A7C"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 </w:t>
            </w:r>
          </w:p>
        </w:tc>
      </w:tr>
      <w:tr w:rsidR="00C84F00" w:rsidRPr="00C84F00" w14:paraId="2EA57A21" w14:textId="77777777" w:rsidTr="006A7DB7">
        <w:trPr>
          <w:trHeight w:val="288"/>
        </w:trPr>
        <w:tc>
          <w:tcPr>
            <w:tcW w:w="1360" w:type="dxa"/>
            <w:tcBorders>
              <w:top w:val="nil"/>
              <w:left w:val="nil"/>
              <w:bottom w:val="nil"/>
              <w:right w:val="nil"/>
            </w:tcBorders>
            <w:shd w:val="clear" w:color="auto" w:fill="auto"/>
            <w:noWrap/>
            <w:vAlign w:val="bottom"/>
            <w:hideMark/>
          </w:tcPr>
          <w:p w14:paraId="4BCBBAD4" w14:textId="77777777" w:rsidR="00C84F00" w:rsidRPr="00C84F00" w:rsidRDefault="00C84F00" w:rsidP="00C84F00">
            <w:pPr>
              <w:spacing w:line="240" w:lineRule="auto"/>
              <w:rPr>
                <w:rFonts w:ascii="Calibri" w:eastAsia="Times New Roman" w:hAnsi="Calibri" w:cs="Calibri"/>
                <w:color w:val="000000"/>
                <w:lang w:eastAsia="de-DE"/>
              </w:rPr>
            </w:pPr>
          </w:p>
        </w:tc>
        <w:tc>
          <w:tcPr>
            <w:tcW w:w="2445" w:type="dxa"/>
            <w:tcBorders>
              <w:top w:val="nil"/>
              <w:left w:val="single" w:sz="8" w:space="0" w:color="auto"/>
              <w:bottom w:val="nil"/>
              <w:right w:val="nil"/>
            </w:tcBorders>
            <w:shd w:val="clear" w:color="auto" w:fill="auto"/>
            <w:noWrap/>
            <w:vAlign w:val="bottom"/>
            <w:hideMark/>
          </w:tcPr>
          <w:p w14:paraId="61CB3799"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Landkreis Unterallgäu</w:t>
            </w:r>
          </w:p>
        </w:tc>
        <w:tc>
          <w:tcPr>
            <w:tcW w:w="946" w:type="dxa"/>
            <w:tcBorders>
              <w:top w:val="single" w:sz="8" w:space="0" w:color="auto"/>
              <w:left w:val="single" w:sz="8" w:space="0" w:color="auto"/>
              <w:bottom w:val="nil"/>
              <w:right w:val="nil"/>
            </w:tcBorders>
            <w:shd w:val="clear" w:color="auto" w:fill="auto"/>
            <w:noWrap/>
            <w:vAlign w:val="bottom"/>
            <w:hideMark/>
          </w:tcPr>
          <w:p w14:paraId="4C20C797"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35,0%</w:t>
            </w:r>
          </w:p>
        </w:tc>
        <w:tc>
          <w:tcPr>
            <w:tcW w:w="1628" w:type="dxa"/>
            <w:tcBorders>
              <w:top w:val="single" w:sz="8" w:space="0" w:color="auto"/>
              <w:left w:val="single" w:sz="8" w:space="0" w:color="auto"/>
              <w:bottom w:val="nil"/>
              <w:right w:val="single" w:sz="8" w:space="0" w:color="auto"/>
            </w:tcBorders>
            <w:shd w:val="clear" w:color="auto" w:fill="auto"/>
            <w:noWrap/>
            <w:vAlign w:val="bottom"/>
            <w:hideMark/>
          </w:tcPr>
          <w:p w14:paraId="2095D1FC"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19,2%</w:t>
            </w:r>
          </w:p>
        </w:tc>
      </w:tr>
      <w:tr w:rsidR="00C84F00" w:rsidRPr="00C84F00" w14:paraId="71D9101B" w14:textId="77777777" w:rsidTr="006A7DB7">
        <w:trPr>
          <w:trHeight w:val="288"/>
        </w:trPr>
        <w:tc>
          <w:tcPr>
            <w:tcW w:w="1360" w:type="dxa"/>
            <w:tcBorders>
              <w:top w:val="nil"/>
              <w:left w:val="nil"/>
              <w:bottom w:val="nil"/>
              <w:right w:val="nil"/>
            </w:tcBorders>
            <w:shd w:val="clear" w:color="auto" w:fill="auto"/>
            <w:noWrap/>
            <w:vAlign w:val="bottom"/>
            <w:hideMark/>
          </w:tcPr>
          <w:p w14:paraId="1D4B05B4"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nil"/>
              <w:left w:val="single" w:sz="8" w:space="0" w:color="auto"/>
              <w:bottom w:val="nil"/>
              <w:right w:val="nil"/>
            </w:tcBorders>
            <w:shd w:val="clear" w:color="auto" w:fill="auto"/>
            <w:noWrap/>
            <w:vAlign w:val="bottom"/>
            <w:hideMark/>
          </w:tcPr>
          <w:p w14:paraId="62268954"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Stadt Memmingen</w:t>
            </w:r>
          </w:p>
        </w:tc>
        <w:tc>
          <w:tcPr>
            <w:tcW w:w="946" w:type="dxa"/>
            <w:tcBorders>
              <w:top w:val="nil"/>
              <w:left w:val="single" w:sz="8" w:space="0" w:color="auto"/>
              <w:bottom w:val="nil"/>
              <w:right w:val="nil"/>
            </w:tcBorders>
            <w:shd w:val="clear" w:color="auto" w:fill="auto"/>
            <w:noWrap/>
            <w:vAlign w:val="bottom"/>
            <w:hideMark/>
          </w:tcPr>
          <w:p w14:paraId="7B6F4B88"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31,5%</w:t>
            </w:r>
          </w:p>
        </w:tc>
        <w:tc>
          <w:tcPr>
            <w:tcW w:w="1628" w:type="dxa"/>
            <w:tcBorders>
              <w:top w:val="nil"/>
              <w:left w:val="single" w:sz="8" w:space="0" w:color="auto"/>
              <w:bottom w:val="nil"/>
              <w:right w:val="single" w:sz="8" w:space="0" w:color="auto"/>
            </w:tcBorders>
            <w:shd w:val="clear" w:color="auto" w:fill="auto"/>
            <w:noWrap/>
            <w:vAlign w:val="bottom"/>
            <w:hideMark/>
          </w:tcPr>
          <w:p w14:paraId="77B18F72"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17,3%</w:t>
            </w:r>
          </w:p>
        </w:tc>
      </w:tr>
      <w:tr w:rsidR="00C84F00" w:rsidRPr="00C84F00" w14:paraId="70E0417E" w14:textId="77777777" w:rsidTr="006A7DB7">
        <w:trPr>
          <w:trHeight w:val="288"/>
        </w:trPr>
        <w:tc>
          <w:tcPr>
            <w:tcW w:w="1360" w:type="dxa"/>
            <w:tcBorders>
              <w:top w:val="nil"/>
              <w:left w:val="nil"/>
              <w:bottom w:val="nil"/>
              <w:right w:val="nil"/>
            </w:tcBorders>
            <w:shd w:val="clear" w:color="auto" w:fill="auto"/>
            <w:noWrap/>
            <w:vAlign w:val="bottom"/>
            <w:hideMark/>
          </w:tcPr>
          <w:p w14:paraId="2F4BDA37"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nil"/>
              <w:left w:val="single" w:sz="8" w:space="0" w:color="auto"/>
              <w:bottom w:val="nil"/>
              <w:right w:val="nil"/>
            </w:tcBorders>
            <w:shd w:val="clear" w:color="auto" w:fill="auto"/>
            <w:noWrap/>
            <w:vAlign w:val="bottom"/>
            <w:hideMark/>
          </w:tcPr>
          <w:p w14:paraId="0BFF33F2"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Stadt Mindelheim</w:t>
            </w:r>
          </w:p>
        </w:tc>
        <w:tc>
          <w:tcPr>
            <w:tcW w:w="946" w:type="dxa"/>
            <w:tcBorders>
              <w:top w:val="nil"/>
              <w:left w:val="single" w:sz="8" w:space="0" w:color="auto"/>
              <w:bottom w:val="nil"/>
              <w:right w:val="nil"/>
            </w:tcBorders>
            <w:shd w:val="clear" w:color="auto" w:fill="auto"/>
            <w:noWrap/>
            <w:vAlign w:val="bottom"/>
            <w:hideMark/>
          </w:tcPr>
          <w:p w14:paraId="587874B9"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16,8%</w:t>
            </w:r>
          </w:p>
        </w:tc>
        <w:tc>
          <w:tcPr>
            <w:tcW w:w="1628" w:type="dxa"/>
            <w:tcBorders>
              <w:top w:val="nil"/>
              <w:left w:val="single" w:sz="8" w:space="0" w:color="auto"/>
              <w:bottom w:val="nil"/>
              <w:right w:val="single" w:sz="8" w:space="0" w:color="auto"/>
            </w:tcBorders>
            <w:shd w:val="clear" w:color="auto" w:fill="auto"/>
            <w:noWrap/>
            <w:vAlign w:val="bottom"/>
            <w:hideMark/>
          </w:tcPr>
          <w:p w14:paraId="2022C4AF"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9,2%</w:t>
            </w:r>
          </w:p>
        </w:tc>
      </w:tr>
      <w:tr w:rsidR="00C84F00" w:rsidRPr="00C84F00" w14:paraId="313994BC" w14:textId="77777777" w:rsidTr="006A7DB7">
        <w:trPr>
          <w:trHeight w:val="288"/>
        </w:trPr>
        <w:tc>
          <w:tcPr>
            <w:tcW w:w="1360" w:type="dxa"/>
            <w:tcBorders>
              <w:top w:val="nil"/>
              <w:left w:val="nil"/>
              <w:bottom w:val="nil"/>
              <w:right w:val="nil"/>
            </w:tcBorders>
            <w:shd w:val="clear" w:color="auto" w:fill="auto"/>
            <w:noWrap/>
            <w:vAlign w:val="bottom"/>
            <w:hideMark/>
          </w:tcPr>
          <w:p w14:paraId="663D6965"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nil"/>
              <w:left w:val="single" w:sz="8" w:space="0" w:color="auto"/>
              <w:bottom w:val="nil"/>
              <w:right w:val="nil"/>
            </w:tcBorders>
            <w:shd w:val="clear" w:color="auto" w:fill="auto"/>
            <w:noWrap/>
            <w:vAlign w:val="bottom"/>
            <w:hideMark/>
          </w:tcPr>
          <w:p w14:paraId="5D0133D0" w14:textId="77777777" w:rsidR="00C84F00" w:rsidRPr="00C84F00" w:rsidRDefault="00C84F00" w:rsidP="00C84F00">
            <w:pPr>
              <w:spacing w:line="240" w:lineRule="auto"/>
              <w:rPr>
                <w:rFonts w:ascii="Arial" w:eastAsia="Times New Roman" w:hAnsi="Arial" w:cs="Arial"/>
                <w:sz w:val="20"/>
                <w:szCs w:val="20"/>
                <w:lang w:eastAsia="de-DE"/>
              </w:rPr>
            </w:pPr>
            <w:r w:rsidRPr="00C84F00">
              <w:rPr>
                <w:rFonts w:ascii="Arial" w:eastAsia="Times New Roman" w:hAnsi="Arial" w:cs="Arial"/>
                <w:sz w:val="20"/>
                <w:szCs w:val="20"/>
                <w:lang w:eastAsia="de-DE"/>
              </w:rPr>
              <w:t>Stadt Lindau</w:t>
            </w:r>
          </w:p>
        </w:tc>
        <w:tc>
          <w:tcPr>
            <w:tcW w:w="946" w:type="dxa"/>
            <w:tcBorders>
              <w:top w:val="nil"/>
              <w:left w:val="single" w:sz="8" w:space="0" w:color="auto"/>
              <w:bottom w:val="nil"/>
              <w:right w:val="nil"/>
            </w:tcBorders>
            <w:shd w:val="clear" w:color="auto" w:fill="auto"/>
            <w:noWrap/>
            <w:vAlign w:val="bottom"/>
            <w:hideMark/>
          </w:tcPr>
          <w:p w14:paraId="122D9087" w14:textId="77777777" w:rsidR="00C84F00" w:rsidRPr="00C84F00" w:rsidRDefault="00C84F00" w:rsidP="00C84F00">
            <w:pPr>
              <w:spacing w:line="240" w:lineRule="auto"/>
              <w:jc w:val="right"/>
              <w:rPr>
                <w:rFonts w:ascii="Arial" w:eastAsia="Times New Roman" w:hAnsi="Arial" w:cs="Arial"/>
                <w:sz w:val="20"/>
                <w:szCs w:val="20"/>
                <w:lang w:eastAsia="de-DE"/>
              </w:rPr>
            </w:pPr>
            <w:r w:rsidRPr="00C84F00">
              <w:rPr>
                <w:rFonts w:ascii="Arial" w:eastAsia="Times New Roman" w:hAnsi="Arial" w:cs="Arial"/>
                <w:sz w:val="20"/>
                <w:szCs w:val="20"/>
                <w:lang w:eastAsia="de-DE"/>
              </w:rPr>
              <w:t>13,2%</w:t>
            </w:r>
          </w:p>
        </w:tc>
        <w:tc>
          <w:tcPr>
            <w:tcW w:w="1628" w:type="dxa"/>
            <w:tcBorders>
              <w:top w:val="nil"/>
              <w:left w:val="single" w:sz="8" w:space="0" w:color="auto"/>
              <w:bottom w:val="nil"/>
              <w:right w:val="single" w:sz="8" w:space="0" w:color="auto"/>
            </w:tcBorders>
            <w:shd w:val="clear" w:color="auto" w:fill="auto"/>
            <w:noWrap/>
            <w:vAlign w:val="bottom"/>
            <w:hideMark/>
          </w:tcPr>
          <w:p w14:paraId="790E35F9"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7,2%</w:t>
            </w:r>
          </w:p>
        </w:tc>
      </w:tr>
      <w:tr w:rsidR="00C84F00" w:rsidRPr="00C84F00" w14:paraId="38DEA1A0" w14:textId="77777777" w:rsidTr="006A7DB7">
        <w:trPr>
          <w:trHeight w:val="300"/>
        </w:trPr>
        <w:tc>
          <w:tcPr>
            <w:tcW w:w="1360" w:type="dxa"/>
            <w:tcBorders>
              <w:top w:val="nil"/>
              <w:left w:val="nil"/>
              <w:bottom w:val="nil"/>
              <w:right w:val="nil"/>
            </w:tcBorders>
            <w:shd w:val="clear" w:color="auto" w:fill="auto"/>
            <w:noWrap/>
            <w:vAlign w:val="bottom"/>
            <w:hideMark/>
          </w:tcPr>
          <w:p w14:paraId="090BACC5"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nil"/>
              <w:left w:val="single" w:sz="8" w:space="0" w:color="auto"/>
              <w:bottom w:val="single" w:sz="8" w:space="0" w:color="auto"/>
              <w:right w:val="nil"/>
            </w:tcBorders>
            <w:shd w:val="clear" w:color="auto" w:fill="auto"/>
            <w:noWrap/>
            <w:vAlign w:val="bottom"/>
            <w:hideMark/>
          </w:tcPr>
          <w:p w14:paraId="1FEFA516" w14:textId="77777777" w:rsidR="00C84F00" w:rsidRPr="00C84F00" w:rsidRDefault="00C84F00" w:rsidP="00C84F00">
            <w:pPr>
              <w:spacing w:line="240" w:lineRule="auto"/>
              <w:rPr>
                <w:rFonts w:ascii="Arial" w:eastAsia="Times New Roman" w:hAnsi="Arial" w:cs="Arial"/>
                <w:sz w:val="20"/>
                <w:szCs w:val="20"/>
                <w:lang w:eastAsia="de-DE"/>
              </w:rPr>
            </w:pPr>
            <w:r w:rsidRPr="00C84F00">
              <w:rPr>
                <w:rFonts w:ascii="Arial" w:eastAsia="Times New Roman" w:hAnsi="Arial" w:cs="Arial"/>
                <w:sz w:val="20"/>
                <w:szCs w:val="20"/>
                <w:lang w:eastAsia="de-DE"/>
              </w:rPr>
              <w:t>Landkreis Lindau</w:t>
            </w:r>
          </w:p>
        </w:tc>
        <w:tc>
          <w:tcPr>
            <w:tcW w:w="946" w:type="dxa"/>
            <w:tcBorders>
              <w:top w:val="nil"/>
              <w:left w:val="single" w:sz="8" w:space="0" w:color="auto"/>
              <w:bottom w:val="single" w:sz="8" w:space="0" w:color="auto"/>
              <w:right w:val="nil"/>
            </w:tcBorders>
            <w:shd w:val="clear" w:color="auto" w:fill="auto"/>
            <w:noWrap/>
            <w:vAlign w:val="bottom"/>
            <w:hideMark/>
          </w:tcPr>
          <w:p w14:paraId="479CF437"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3,5%</w:t>
            </w:r>
          </w:p>
        </w:tc>
        <w:tc>
          <w:tcPr>
            <w:tcW w:w="1628" w:type="dxa"/>
            <w:tcBorders>
              <w:top w:val="nil"/>
              <w:left w:val="single" w:sz="8" w:space="0" w:color="auto"/>
              <w:bottom w:val="single" w:sz="8" w:space="0" w:color="auto"/>
              <w:right w:val="single" w:sz="8" w:space="0" w:color="auto"/>
            </w:tcBorders>
            <w:shd w:val="clear" w:color="auto" w:fill="auto"/>
            <w:noWrap/>
            <w:vAlign w:val="bottom"/>
            <w:hideMark/>
          </w:tcPr>
          <w:p w14:paraId="6B51B6CC"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1,9%</w:t>
            </w:r>
          </w:p>
        </w:tc>
      </w:tr>
      <w:tr w:rsidR="00E975FE" w:rsidRPr="00C84F00" w14:paraId="08E1F5BC" w14:textId="77777777" w:rsidTr="00E975FE">
        <w:trPr>
          <w:trHeight w:val="288"/>
        </w:trPr>
        <w:tc>
          <w:tcPr>
            <w:tcW w:w="1360" w:type="dxa"/>
            <w:tcBorders>
              <w:top w:val="nil"/>
              <w:left w:val="nil"/>
              <w:bottom w:val="nil"/>
              <w:right w:val="nil"/>
            </w:tcBorders>
            <w:shd w:val="clear" w:color="auto" w:fill="auto"/>
            <w:noWrap/>
            <w:vAlign w:val="bottom"/>
          </w:tcPr>
          <w:p w14:paraId="309E5791" w14:textId="77777777" w:rsidR="00E975FE" w:rsidRPr="00C84F00" w:rsidRDefault="00E975FE" w:rsidP="00C84F00">
            <w:pPr>
              <w:spacing w:line="240" w:lineRule="auto"/>
              <w:jc w:val="right"/>
              <w:rPr>
                <w:rFonts w:ascii="Calibri" w:eastAsia="Times New Roman" w:hAnsi="Calibri" w:cs="Calibri"/>
                <w:color w:val="000000"/>
                <w:lang w:eastAsia="de-DE"/>
              </w:rPr>
            </w:pPr>
          </w:p>
        </w:tc>
        <w:tc>
          <w:tcPr>
            <w:tcW w:w="2445" w:type="dxa"/>
            <w:tcBorders>
              <w:top w:val="nil"/>
              <w:left w:val="single" w:sz="8" w:space="0" w:color="auto"/>
              <w:bottom w:val="single" w:sz="4" w:space="0" w:color="auto"/>
              <w:right w:val="nil"/>
            </w:tcBorders>
            <w:shd w:val="clear" w:color="auto" w:fill="auto"/>
            <w:noWrap/>
            <w:vAlign w:val="bottom"/>
          </w:tcPr>
          <w:p w14:paraId="45922E3E" w14:textId="69CAC3F3" w:rsidR="00E975FE" w:rsidRPr="00C84F00" w:rsidRDefault="00E975FE" w:rsidP="00C84F00">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Summe</w:t>
            </w:r>
          </w:p>
        </w:tc>
        <w:tc>
          <w:tcPr>
            <w:tcW w:w="946" w:type="dxa"/>
            <w:tcBorders>
              <w:top w:val="nil"/>
              <w:left w:val="single" w:sz="8" w:space="0" w:color="auto"/>
              <w:bottom w:val="single" w:sz="4" w:space="0" w:color="auto"/>
              <w:right w:val="nil"/>
            </w:tcBorders>
            <w:shd w:val="clear" w:color="auto" w:fill="auto"/>
            <w:noWrap/>
            <w:vAlign w:val="bottom"/>
          </w:tcPr>
          <w:p w14:paraId="1404CED4" w14:textId="77E0F210" w:rsidR="00E975FE" w:rsidRPr="00C84F00" w:rsidRDefault="00E975FE" w:rsidP="00C84F00">
            <w:pPr>
              <w:spacing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100,0%</w:t>
            </w:r>
          </w:p>
        </w:tc>
        <w:tc>
          <w:tcPr>
            <w:tcW w:w="1628" w:type="dxa"/>
            <w:tcBorders>
              <w:top w:val="nil"/>
              <w:left w:val="single" w:sz="8" w:space="0" w:color="auto"/>
              <w:bottom w:val="single" w:sz="4" w:space="0" w:color="auto"/>
              <w:right w:val="single" w:sz="8" w:space="0" w:color="auto"/>
            </w:tcBorders>
            <w:shd w:val="clear" w:color="auto" w:fill="auto"/>
            <w:noWrap/>
            <w:vAlign w:val="bottom"/>
          </w:tcPr>
          <w:p w14:paraId="177F4760" w14:textId="3845C2C4" w:rsidR="00E975FE" w:rsidRPr="00C84F00" w:rsidRDefault="00E975FE" w:rsidP="00C84F00">
            <w:pPr>
              <w:spacing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54,8%</w:t>
            </w:r>
          </w:p>
        </w:tc>
      </w:tr>
      <w:tr w:rsidR="00C84F00" w:rsidRPr="00C84F00" w14:paraId="4BB58CC6" w14:textId="77777777" w:rsidTr="00E975FE">
        <w:trPr>
          <w:trHeight w:val="288"/>
        </w:trPr>
        <w:tc>
          <w:tcPr>
            <w:tcW w:w="1360" w:type="dxa"/>
            <w:tcBorders>
              <w:top w:val="nil"/>
              <w:left w:val="nil"/>
              <w:bottom w:val="nil"/>
              <w:right w:val="single" w:sz="4" w:space="0" w:color="auto"/>
            </w:tcBorders>
            <w:shd w:val="clear" w:color="auto" w:fill="auto"/>
            <w:noWrap/>
            <w:vAlign w:val="bottom"/>
            <w:hideMark/>
          </w:tcPr>
          <w:p w14:paraId="4FEB5828"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single" w:sz="4" w:space="0" w:color="auto"/>
              <w:left w:val="single" w:sz="4" w:space="0" w:color="auto"/>
              <w:bottom w:val="nil"/>
              <w:right w:val="nil"/>
            </w:tcBorders>
            <w:shd w:val="clear" w:color="auto" w:fill="auto"/>
            <w:noWrap/>
            <w:vAlign w:val="bottom"/>
            <w:hideMark/>
          </w:tcPr>
          <w:p w14:paraId="12A1D8FD"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Landkreis Augsburg</w:t>
            </w:r>
          </w:p>
        </w:tc>
        <w:tc>
          <w:tcPr>
            <w:tcW w:w="946" w:type="dxa"/>
            <w:tcBorders>
              <w:top w:val="single" w:sz="4" w:space="0" w:color="auto"/>
              <w:left w:val="single" w:sz="8" w:space="0" w:color="auto"/>
              <w:bottom w:val="nil"/>
              <w:right w:val="nil"/>
            </w:tcBorders>
            <w:shd w:val="clear" w:color="auto" w:fill="auto"/>
            <w:noWrap/>
            <w:vAlign w:val="bottom"/>
            <w:hideMark/>
          </w:tcPr>
          <w:p w14:paraId="660E2F4F"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87,5%</w:t>
            </w:r>
          </w:p>
        </w:tc>
        <w:tc>
          <w:tcPr>
            <w:tcW w:w="1628" w:type="dxa"/>
            <w:tcBorders>
              <w:top w:val="single" w:sz="4" w:space="0" w:color="auto"/>
              <w:left w:val="single" w:sz="8" w:space="0" w:color="auto"/>
              <w:bottom w:val="nil"/>
              <w:right w:val="single" w:sz="4" w:space="0" w:color="auto"/>
            </w:tcBorders>
            <w:shd w:val="clear" w:color="auto" w:fill="auto"/>
            <w:noWrap/>
            <w:vAlign w:val="bottom"/>
            <w:hideMark/>
          </w:tcPr>
          <w:p w14:paraId="4939DBE4"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39,6%</w:t>
            </w:r>
          </w:p>
        </w:tc>
      </w:tr>
      <w:tr w:rsidR="00C84F00" w:rsidRPr="00C84F00" w14:paraId="116132ED" w14:textId="77777777" w:rsidTr="00E975FE">
        <w:trPr>
          <w:trHeight w:val="300"/>
        </w:trPr>
        <w:tc>
          <w:tcPr>
            <w:tcW w:w="1360" w:type="dxa"/>
            <w:tcBorders>
              <w:top w:val="nil"/>
              <w:left w:val="nil"/>
              <w:bottom w:val="nil"/>
              <w:right w:val="single" w:sz="4" w:space="0" w:color="auto"/>
            </w:tcBorders>
            <w:shd w:val="clear" w:color="auto" w:fill="auto"/>
            <w:noWrap/>
            <w:vAlign w:val="bottom"/>
            <w:hideMark/>
          </w:tcPr>
          <w:p w14:paraId="0EE664B2" w14:textId="77777777" w:rsidR="00C84F00" w:rsidRPr="00C84F00" w:rsidRDefault="00C84F00" w:rsidP="00C84F00">
            <w:pPr>
              <w:spacing w:line="240" w:lineRule="auto"/>
              <w:jc w:val="right"/>
              <w:rPr>
                <w:rFonts w:ascii="Calibri" w:eastAsia="Times New Roman" w:hAnsi="Calibri" w:cs="Calibri"/>
                <w:color w:val="000000"/>
                <w:lang w:eastAsia="de-DE"/>
              </w:rPr>
            </w:pPr>
          </w:p>
        </w:tc>
        <w:tc>
          <w:tcPr>
            <w:tcW w:w="2445" w:type="dxa"/>
            <w:tcBorders>
              <w:top w:val="nil"/>
              <w:left w:val="single" w:sz="4" w:space="0" w:color="auto"/>
              <w:bottom w:val="single" w:sz="4" w:space="0" w:color="auto"/>
              <w:right w:val="nil"/>
            </w:tcBorders>
            <w:shd w:val="clear" w:color="auto" w:fill="auto"/>
            <w:noWrap/>
            <w:vAlign w:val="bottom"/>
            <w:hideMark/>
          </w:tcPr>
          <w:p w14:paraId="37B1AF32" w14:textId="77777777" w:rsidR="00C84F00" w:rsidRPr="00C84F00" w:rsidRDefault="00C84F00" w:rsidP="00C84F00">
            <w:pPr>
              <w:spacing w:line="240" w:lineRule="auto"/>
              <w:rPr>
                <w:rFonts w:ascii="Calibri" w:eastAsia="Times New Roman" w:hAnsi="Calibri" w:cs="Calibri"/>
                <w:color w:val="000000"/>
                <w:lang w:eastAsia="de-DE"/>
              </w:rPr>
            </w:pPr>
            <w:r w:rsidRPr="00C84F00">
              <w:rPr>
                <w:rFonts w:ascii="Calibri" w:eastAsia="Times New Roman" w:hAnsi="Calibri" w:cs="Calibri"/>
                <w:color w:val="000000"/>
                <w:lang w:eastAsia="de-DE"/>
              </w:rPr>
              <w:t>Stadt Schwabmünchen</w:t>
            </w:r>
          </w:p>
        </w:tc>
        <w:tc>
          <w:tcPr>
            <w:tcW w:w="946" w:type="dxa"/>
            <w:tcBorders>
              <w:top w:val="nil"/>
              <w:left w:val="single" w:sz="8" w:space="0" w:color="auto"/>
              <w:bottom w:val="single" w:sz="4" w:space="0" w:color="auto"/>
              <w:right w:val="nil"/>
            </w:tcBorders>
            <w:shd w:val="clear" w:color="auto" w:fill="auto"/>
            <w:noWrap/>
            <w:vAlign w:val="bottom"/>
            <w:hideMark/>
          </w:tcPr>
          <w:p w14:paraId="369AE349"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12,5%</w:t>
            </w:r>
          </w:p>
        </w:tc>
        <w:tc>
          <w:tcPr>
            <w:tcW w:w="1628" w:type="dxa"/>
            <w:tcBorders>
              <w:top w:val="nil"/>
              <w:left w:val="single" w:sz="8" w:space="0" w:color="auto"/>
              <w:bottom w:val="single" w:sz="4" w:space="0" w:color="auto"/>
              <w:right w:val="single" w:sz="4" w:space="0" w:color="auto"/>
            </w:tcBorders>
            <w:shd w:val="clear" w:color="auto" w:fill="auto"/>
            <w:noWrap/>
            <w:vAlign w:val="bottom"/>
            <w:hideMark/>
          </w:tcPr>
          <w:p w14:paraId="6F0E445A" w14:textId="77777777" w:rsidR="00C84F00" w:rsidRPr="00C84F00" w:rsidRDefault="00C84F00" w:rsidP="00C84F00">
            <w:pPr>
              <w:spacing w:line="240" w:lineRule="auto"/>
              <w:jc w:val="right"/>
              <w:rPr>
                <w:rFonts w:ascii="Calibri" w:eastAsia="Times New Roman" w:hAnsi="Calibri" w:cs="Calibri"/>
                <w:color w:val="000000"/>
                <w:lang w:eastAsia="de-DE"/>
              </w:rPr>
            </w:pPr>
            <w:r w:rsidRPr="00C84F00">
              <w:rPr>
                <w:rFonts w:ascii="Calibri" w:eastAsia="Times New Roman" w:hAnsi="Calibri" w:cs="Calibri"/>
                <w:color w:val="000000"/>
                <w:lang w:eastAsia="de-DE"/>
              </w:rPr>
              <w:t>5,6%</w:t>
            </w:r>
          </w:p>
        </w:tc>
      </w:tr>
      <w:tr w:rsidR="00E975FE" w:rsidRPr="00C84F00" w14:paraId="11A43513" w14:textId="77777777" w:rsidTr="00E975FE">
        <w:trPr>
          <w:trHeight w:val="300"/>
        </w:trPr>
        <w:tc>
          <w:tcPr>
            <w:tcW w:w="1360" w:type="dxa"/>
            <w:tcBorders>
              <w:top w:val="nil"/>
              <w:left w:val="nil"/>
              <w:bottom w:val="nil"/>
              <w:right w:val="nil"/>
            </w:tcBorders>
            <w:shd w:val="clear" w:color="auto" w:fill="auto"/>
            <w:noWrap/>
            <w:vAlign w:val="bottom"/>
          </w:tcPr>
          <w:p w14:paraId="392D0797" w14:textId="77777777" w:rsidR="00E975FE" w:rsidRPr="00C84F00" w:rsidRDefault="00E975FE" w:rsidP="00C84F00">
            <w:pPr>
              <w:spacing w:line="240" w:lineRule="auto"/>
              <w:jc w:val="right"/>
              <w:rPr>
                <w:rFonts w:ascii="Calibri" w:eastAsia="Times New Roman" w:hAnsi="Calibri" w:cs="Calibri"/>
                <w:color w:val="000000"/>
                <w:lang w:eastAsia="de-DE"/>
              </w:rPr>
            </w:pPr>
          </w:p>
        </w:tc>
        <w:tc>
          <w:tcPr>
            <w:tcW w:w="2445" w:type="dxa"/>
            <w:tcBorders>
              <w:top w:val="single" w:sz="4" w:space="0" w:color="auto"/>
              <w:left w:val="single" w:sz="8" w:space="0" w:color="auto"/>
              <w:bottom w:val="single" w:sz="4" w:space="0" w:color="auto"/>
              <w:right w:val="nil"/>
            </w:tcBorders>
            <w:shd w:val="clear" w:color="auto" w:fill="auto"/>
            <w:noWrap/>
            <w:vAlign w:val="bottom"/>
          </w:tcPr>
          <w:p w14:paraId="0F89106A" w14:textId="74CBE675" w:rsidR="00E975FE" w:rsidRPr="00C84F00" w:rsidRDefault="00E975FE" w:rsidP="00C84F00">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Summe</w:t>
            </w:r>
          </w:p>
        </w:tc>
        <w:tc>
          <w:tcPr>
            <w:tcW w:w="946" w:type="dxa"/>
            <w:tcBorders>
              <w:top w:val="single" w:sz="4" w:space="0" w:color="auto"/>
              <w:left w:val="single" w:sz="8" w:space="0" w:color="auto"/>
              <w:bottom w:val="single" w:sz="8" w:space="0" w:color="auto"/>
              <w:right w:val="nil"/>
            </w:tcBorders>
            <w:shd w:val="clear" w:color="auto" w:fill="auto"/>
            <w:noWrap/>
            <w:vAlign w:val="bottom"/>
          </w:tcPr>
          <w:p w14:paraId="18475CD8" w14:textId="6BCA7E94" w:rsidR="00E975FE" w:rsidRPr="00C84F00" w:rsidRDefault="00E975FE" w:rsidP="00C84F00">
            <w:pPr>
              <w:spacing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100,0%</w:t>
            </w:r>
          </w:p>
        </w:tc>
        <w:tc>
          <w:tcPr>
            <w:tcW w:w="1628"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4C19600" w14:textId="4CE11323" w:rsidR="00E975FE" w:rsidRPr="00C84F00" w:rsidRDefault="00E975FE" w:rsidP="00C84F00">
            <w:pPr>
              <w:spacing w:line="240" w:lineRule="auto"/>
              <w:jc w:val="right"/>
              <w:rPr>
                <w:rFonts w:ascii="Calibri" w:eastAsia="Times New Roman" w:hAnsi="Calibri" w:cs="Calibri"/>
                <w:color w:val="000000"/>
                <w:lang w:eastAsia="de-DE"/>
              </w:rPr>
            </w:pPr>
            <w:r>
              <w:rPr>
                <w:rFonts w:ascii="Calibri" w:eastAsia="Times New Roman" w:hAnsi="Calibri" w:cs="Calibri"/>
                <w:color w:val="000000"/>
                <w:lang w:eastAsia="de-DE"/>
              </w:rPr>
              <w:t>45,2%</w:t>
            </w:r>
          </w:p>
        </w:tc>
      </w:tr>
    </w:tbl>
    <w:p w14:paraId="03ABA75A" w14:textId="77777777" w:rsidR="00C84F00" w:rsidRDefault="00C84F00" w:rsidP="007052A8">
      <w:pPr>
        <w:rPr>
          <w:sz w:val="24"/>
          <w:szCs w:val="24"/>
        </w:rPr>
      </w:pPr>
    </w:p>
    <w:p w14:paraId="588CC1B0" w14:textId="359B6298" w:rsidR="00E975FE" w:rsidRDefault="0002434C" w:rsidP="007052A8">
      <w:pPr>
        <w:rPr>
          <w:sz w:val="24"/>
          <w:szCs w:val="24"/>
        </w:rPr>
      </w:pPr>
      <w:r>
        <w:rPr>
          <w:sz w:val="24"/>
          <w:szCs w:val="24"/>
        </w:rPr>
        <w:t>Damit dominiert der Landkreis Augsburg die fusionierte Sparkasse. Der Anteil des Landkreises Lindau ist auf eine vernachlässigbare Größe geschrumpft.</w:t>
      </w:r>
    </w:p>
    <w:p w14:paraId="25223C55" w14:textId="77777777" w:rsidR="00E975FE" w:rsidRDefault="00E975FE">
      <w:pPr>
        <w:rPr>
          <w:sz w:val="24"/>
          <w:szCs w:val="24"/>
        </w:rPr>
      </w:pPr>
      <w:r>
        <w:rPr>
          <w:sz w:val="24"/>
          <w:szCs w:val="24"/>
        </w:rPr>
        <w:br w:type="page"/>
      </w:r>
    </w:p>
    <w:p w14:paraId="6E5F3526" w14:textId="30C6B1F5" w:rsidR="0002434C" w:rsidRDefault="0002434C" w:rsidP="007052A8">
      <w:pPr>
        <w:rPr>
          <w:b/>
          <w:bCs/>
          <w:sz w:val="24"/>
          <w:szCs w:val="24"/>
        </w:rPr>
      </w:pPr>
      <w:r w:rsidRPr="0002434C">
        <w:rPr>
          <w:b/>
          <w:bCs/>
          <w:sz w:val="24"/>
          <w:szCs w:val="24"/>
        </w:rPr>
        <w:lastRenderedPageBreak/>
        <w:t>„2 gesunde Häuser“?</w:t>
      </w:r>
    </w:p>
    <w:p w14:paraId="51A5DD3E" w14:textId="342D31CC" w:rsidR="00EE4657" w:rsidRDefault="00EE4657" w:rsidP="007052A8">
      <w:pPr>
        <w:rPr>
          <w:sz w:val="24"/>
          <w:szCs w:val="24"/>
        </w:rPr>
      </w:pPr>
      <w:r>
        <w:rPr>
          <w:sz w:val="24"/>
          <w:szCs w:val="24"/>
        </w:rPr>
        <w:t xml:space="preserve">Bereits letzten Herbst wurde ein Gutachten in Auftrag gegeben. Von wem wird nicht gesagt, es muss aber von Sparkassenvorstandsseite geschehen sein, die Träger dürfen das vor einer Beschlussfassung nicht tun. Es handelt sich daher um ein Auftragsgutachten, das normalerweise vom Sparkassenverband erstellt wird. Das Gutachten wird also so formuliert, dass es dem Wunsche des Auftragsgebers, der eine Fusion ja will, entspricht. Insofern kam das Gutachten zum Ergebnis, „dass die Fusion betriebswirtschaftlich und strukturell sinnvoll und im Interesse aller Beteiligten sei“. </w:t>
      </w:r>
    </w:p>
    <w:p w14:paraId="44DC228B" w14:textId="4C261A9E" w:rsidR="00EE4657" w:rsidRDefault="00EE4657" w:rsidP="007052A8">
      <w:pPr>
        <w:rPr>
          <w:sz w:val="24"/>
          <w:szCs w:val="24"/>
        </w:rPr>
      </w:pPr>
    </w:p>
    <w:p w14:paraId="6CD7FD5B" w14:textId="25BFF3CE" w:rsidR="00EE4657" w:rsidRDefault="00EE4657" w:rsidP="007052A8">
      <w:pPr>
        <w:rPr>
          <w:sz w:val="24"/>
          <w:szCs w:val="24"/>
        </w:rPr>
      </w:pPr>
      <w:r>
        <w:rPr>
          <w:sz w:val="24"/>
          <w:szCs w:val="24"/>
        </w:rPr>
        <w:t xml:space="preserve">Während der Diskussion um eine Monsterfusion der Sparkassen DAH-FFB und LL wurden sogar zwei Gutachten </w:t>
      </w:r>
      <w:r w:rsidR="005359F2">
        <w:rPr>
          <w:sz w:val="24"/>
          <w:szCs w:val="24"/>
        </w:rPr>
        <w:t xml:space="preserve">(vom Sparkassenverband) </w:t>
      </w:r>
      <w:r>
        <w:rPr>
          <w:sz w:val="24"/>
          <w:szCs w:val="24"/>
        </w:rPr>
        <w:t>erstellt, die (natürlich) zum Ergebnis kamen, dass eine Fusion sinnvoll sei. Nach Bekanntwerden der Gutachten wurden diese von Fachleuten untersucht und regelrecht zerp</w:t>
      </w:r>
      <w:r w:rsidR="005359F2">
        <w:rPr>
          <w:sz w:val="24"/>
          <w:szCs w:val="24"/>
        </w:rPr>
        <w:t>flückt und als unsinnig bezeichnet. Die Gutachten landeten im Mülleimer.</w:t>
      </w:r>
    </w:p>
    <w:p w14:paraId="4FF8EC0B" w14:textId="1B844368" w:rsidR="005359F2" w:rsidRDefault="005359F2" w:rsidP="007052A8">
      <w:pPr>
        <w:rPr>
          <w:sz w:val="24"/>
          <w:szCs w:val="24"/>
        </w:rPr>
      </w:pPr>
    </w:p>
    <w:p w14:paraId="3C1AA55A" w14:textId="368CB6EE" w:rsidR="005359F2" w:rsidRDefault="005359F2" w:rsidP="007052A8">
      <w:pPr>
        <w:rPr>
          <w:sz w:val="24"/>
          <w:szCs w:val="24"/>
        </w:rPr>
      </w:pPr>
      <w:r>
        <w:rPr>
          <w:sz w:val="24"/>
          <w:szCs w:val="24"/>
        </w:rPr>
        <w:t xml:space="preserve">Zur Klärung der Frage, wie „gesund“ die beiden Sparkassen sind, gibt es mehrere Größen. Die wichtigste ist die sog. </w:t>
      </w:r>
      <w:r w:rsidRPr="005359F2">
        <w:rPr>
          <w:b/>
          <w:bCs/>
          <w:sz w:val="24"/>
          <w:szCs w:val="24"/>
        </w:rPr>
        <w:t>Kapitalquote</w:t>
      </w:r>
      <w:r>
        <w:rPr>
          <w:b/>
          <w:bCs/>
          <w:sz w:val="24"/>
          <w:szCs w:val="24"/>
        </w:rPr>
        <w:t xml:space="preserve">. </w:t>
      </w:r>
      <w:r>
        <w:rPr>
          <w:sz w:val="24"/>
          <w:szCs w:val="24"/>
        </w:rPr>
        <w:t>Sie gibt an</w:t>
      </w:r>
      <w:r w:rsidR="00B4378D">
        <w:rPr>
          <w:sz w:val="24"/>
          <w:szCs w:val="24"/>
        </w:rPr>
        <w:t>,</w:t>
      </w:r>
      <w:r>
        <w:rPr>
          <w:sz w:val="24"/>
          <w:szCs w:val="24"/>
        </w:rPr>
        <w:t xml:space="preserve"> inwiefern die Risikogewichteten Aktiva (landläufig als faule Kredite bezeichnet) durch das Eigenkapital gedeckt sind. </w:t>
      </w:r>
    </w:p>
    <w:p w14:paraId="747694D1" w14:textId="03A5BDDF" w:rsidR="00244098" w:rsidRDefault="00244098" w:rsidP="007052A8">
      <w:pPr>
        <w:rPr>
          <w:sz w:val="24"/>
          <w:szCs w:val="24"/>
        </w:rPr>
      </w:pPr>
      <w:r>
        <w:rPr>
          <w:sz w:val="24"/>
          <w:szCs w:val="24"/>
        </w:rPr>
        <w:t>Hier ist das Ergebnis seit 2016:</w:t>
      </w:r>
    </w:p>
    <w:p w14:paraId="0871C791" w14:textId="1001B7F5" w:rsidR="00244098" w:rsidRPr="00244098" w:rsidRDefault="00244098" w:rsidP="007052A8">
      <w:pPr>
        <w:rPr>
          <w:sz w:val="16"/>
          <w:szCs w:val="16"/>
        </w:rPr>
      </w:pPr>
    </w:p>
    <w:tbl>
      <w:tblPr>
        <w:tblW w:w="5964" w:type="dxa"/>
        <w:tblCellMar>
          <w:left w:w="70" w:type="dxa"/>
          <w:right w:w="70" w:type="dxa"/>
        </w:tblCellMar>
        <w:tblLook w:val="04A0" w:firstRow="1" w:lastRow="0" w:firstColumn="1" w:lastColumn="0" w:noHBand="0" w:noVBand="1"/>
      </w:tblPr>
      <w:tblGrid>
        <w:gridCol w:w="1276"/>
        <w:gridCol w:w="1102"/>
        <w:gridCol w:w="1106"/>
        <w:gridCol w:w="1240"/>
        <w:gridCol w:w="1240"/>
      </w:tblGrid>
      <w:tr w:rsidR="00244098" w:rsidRPr="00244098" w14:paraId="36346466" w14:textId="77777777" w:rsidTr="00244098">
        <w:trPr>
          <w:trHeight w:val="288"/>
        </w:trPr>
        <w:tc>
          <w:tcPr>
            <w:tcW w:w="3484" w:type="dxa"/>
            <w:gridSpan w:val="3"/>
            <w:tcBorders>
              <w:top w:val="nil"/>
              <w:left w:val="nil"/>
              <w:bottom w:val="nil"/>
              <w:right w:val="nil"/>
            </w:tcBorders>
            <w:shd w:val="clear" w:color="auto" w:fill="auto"/>
            <w:noWrap/>
            <w:vAlign w:val="bottom"/>
            <w:hideMark/>
          </w:tcPr>
          <w:p w14:paraId="5E0E9F8D" w14:textId="77777777" w:rsidR="00244098" w:rsidRPr="00244098" w:rsidRDefault="00244098" w:rsidP="00244098">
            <w:pPr>
              <w:spacing w:line="240" w:lineRule="auto"/>
              <w:rPr>
                <w:rFonts w:ascii="Calibri" w:eastAsia="Times New Roman" w:hAnsi="Calibri" w:cs="Calibri"/>
                <w:b/>
                <w:bCs/>
                <w:color w:val="000000"/>
                <w:lang w:eastAsia="de-DE"/>
              </w:rPr>
            </w:pPr>
            <w:r w:rsidRPr="00244098">
              <w:rPr>
                <w:rFonts w:ascii="Calibri" w:eastAsia="Times New Roman" w:hAnsi="Calibri" w:cs="Calibri"/>
                <w:b/>
                <w:bCs/>
                <w:color w:val="000000"/>
                <w:lang w:eastAsia="de-DE"/>
              </w:rPr>
              <w:t>Gesamte Kernkapitalquote:</w:t>
            </w:r>
          </w:p>
        </w:tc>
        <w:tc>
          <w:tcPr>
            <w:tcW w:w="1240" w:type="dxa"/>
            <w:tcBorders>
              <w:top w:val="nil"/>
              <w:left w:val="nil"/>
              <w:bottom w:val="nil"/>
              <w:right w:val="nil"/>
            </w:tcBorders>
            <w:shd w:val="clear" w:color="auto" w:fill="auto"/>
            <w:noWrap/>
            <w:vAlign w:val="bottom"/>
            <w:hideMark/>
          </w:tcPr>
          <w:p w14:paraId="720BBAC3" w14:textId="77777777" w:rsidR="00244098" w:rsidRPr="00244098" w:rsidRDefault="00244098" w:rsidP="00244098">
            <w:pPr>
              <w:spacing w:line="240" w:lineRule="auto"/>
              <w:rPr>
                <w:rFonts w:ascii="Calibri" w:eastAsia="Times New Roman" w:hAnsi="Calibri" w:cs="Calibri"/>
                <w:b/>
                <w:bCs/>
                <w:color w:val="000000"/>
                <w:lang w:eastAsia="de-DE"/>
              </w:rPr>
            </w:pPr>
          </w:p>
        </w:tc>
        <w:tc>
          <w:tcPr>
            <w:tcW w:w="1240" w:type="dxa"/>
            <w:tcBorders>
              <w:top w:val="nil"/>
              <w:left w:val="nil"/>
              <w:bottom w:val="nil"/>
              <w:right w:val="nil"/>
            </w:tcBorders>
            <w:shd w:val="clear" w:color="auto" w:fill="auto"/>
            <w:noWrap/>
            <w:vAlign w:val="bottom"/>
            <w:hideMark/>
          </w:tcPr>
          <w:p w14:paraId="4708C32D" w14:textId="77777777" w:rsidR="00244098" w:rsidRPr="00244098" w:rsidRDefault="00244098" w:rsidP="00244098">
            <w:pPr>
              <w:spacing w:line="240" w:lineRule="auto"/>
              <w:rPr>
                <w:rFonts w:ascii="Times New Roman" w:eastAsia="Times New Roman" w:hAnsi="Times New Roman" w:cs="Times New Roman"/>
                <w:sz w:val="20"/>
                <w:szCs w:val="20"/>
                <w:lang w:eastAsia="de-DE"/>
              </w:rPr>
            </w:pPr>
          </w:p>
        </w:tc>
      </w:tr>
      <w:tr w:rsidR="00244098" w:rsidRPr="00244098" w14:paraId="598CCDB1" w14:textId="77777777" w:rsidTr="00244098">
        <w:trPr>
          <w:trHeight w:val="288"/>
        </w:trPr>
        <w:tc>
          <w:tcPr>
            <w:tcW w:w="1276" w:type="dxa"/>
            <w:tcBorders>
              <w:top w:val="nil"/>
              <w:left w:val="nil"/>
              <w:bottom w:val="nil"/>
              <w:right w:val="nil"/>
            </w:tcBorders>
            <w:shd w:val="clear" w:color="auto" w:fill="auto"/>
            <w:noWrap/>
            <w:vAlign w:val="bottom"/>
            <w:hideMark/>
          </w:tcPr>
          <w:p w14:paraId="12FC68BC" w14:textId="77777777" w:rsidR="00244098" w:rsidRPr="00244098" w:rsidRDefault="00244098" w:rsidP="00244098">
            <w:pPr>
              <w:spacing w:line="240" w:lineRule="auto"/>
              <w:rPr>
                <w:rFonts w:ascii="Arial" w:eastAsia="Times New Roman" w:hAnsi="Arial" w:cs="Arial"/>
                <w:sz w:val="20"/>
                <w:szCs w:val="20"/>
                <w:lang w:eastAsia="de-DE"/>
              </w:rPr>
            </w:pPr>
            <w:r w:rsidRPr="00244098">
              <w:rPr>
                <w:rFonts w:ascii="Arial" w:eastAsia="Times New Roman" w:hAnsi="Arial" w:cs="Arial"/>
                <w:sz w:val="20"/>
                <w:szCs w:val="20"/>
                <w:lang w:eastAsia="de-DE"/>
              </w:rPr>
              <w:t>Jahr</w:t>
            </w:r>
          </w:p>
        </w:tc>
        <w:tc>
          <w:tcPr>
            <w:tcW w:w="1102" w:type="dxa"/>
            <w:tcBorders>
              <w:top w:val="nil"/>
              <w:left w:val="nil"/>
              <w:bottom w:val="nil"/>
              <w:right w:val="nil"/>
            </w:tcBorders>
            <w:shd w:val="clear" w:color="auto" w:fill="auto"/>
            <w:noWrap/>
            <w:vAlign w:val="bottom"/>
            <w:hideMark/>
          </w:tcPr>
          <w:p w14:paraId="784AB94D" w14:textId="77777777" w:rsidR="00244098" w:rsidRPr="00244098" w:rsidRDefault="00244098" w:rsidP="00244098">
            <w:pPr>
              <w:spacing w:line="240" w:lineRule="auto"/>
              <w:jc w:val="right"/>
              <w:rPr>
                <w:rFonts w:ascii="Arial" w:eastAsia="Times New Roman" w:hAnsi="Arial" w:cs="Arial"/>
                <w:sz w:val="18"/>
                <w:szCs w:val="18"/>
                <w:lang w:eastAsia="de-DE"/>
              </w:rPr>
            </w:pPr>
            <w:r w:rsidRPr="00244098">
              <w:rPr>
                <w:rFonts w:ascii="Arial" w:eastAsia="Times New Roman" w:hAnsi="Arial" w:cs="Arial"/>
                <w:sz w:val="18"/>
                <w:szCs w:val="18"/>
                <w:lang w:eastAsia="de-DE"/>
              </w:rPr>
              <w:t>2019</w:t>
            </w:r>
          </w:p>
        </w:tc>
        <w:tc>
          <w:tcPr>
            <w:tcW w:w="1106" w:type="dxa"/>
            <w:tcBorders>
              <w:top w:val="nil"/>
              <w:left w:val="nil"/>
              <w:bottom w:val="nil"/>
              <w:right w:val="nil"/>
            </w:tcBorders>
            <w:shd w:val="clear" w:color="auto" w:fill="auto"/>
            <w:noWrap/>
            <w:vAlign w:val="bottom"/>
            <w:hideMark/>
          </w:tcPr>
          <w:p w14:paraId="65B3CA56" w14:textId="77777777" w:rsidR="00244098" w:rsidRPr="00244098" w:rsidRDefault="00244098" w:rsidP="00244098">
            <w:pPr>
              <w:spacing w:line="240" w:lineRule="auto"/>
              <w:jc w:val="right"/>
              <w:rPr>
                <w:rFonts w:ascii="Arial" w:eastAsia="Times New Roman" w:hAnsi="Arial" w:cs="Arial"/>
                <w:sz w:val="18"/>
                <w:szCs w:val="18"/>
                <w:lang w:eastAsia="de-DE"/>
              </w:rPr>
            </w:pPr>
            <w:r w:rsidRPr="00244098">
              <w:rPr>
                <w:rFonts w:ascii="Arial" w:eastAsia="Times New Roman" w:hAnsi="Arial" w:cs="Arial"/>
                <w:sz w:val="18"/>
                <w:szCs w:val="18"/>
                <w:lang w:eastAsia="de-DE"/>
              </w:rPr>
              <w:t>2018</w:t>
            </w:r>
          </w:p>
        </w:tc>
        <w:tc>
          <w:tcPr>
            <w:tcW w:w="1240" w:type="dxa"/>
            <w:tcBorders>
              <w:top w:val="nil"/>
              <w:left w:val="nil"/>
              <w:bottom w:val="nil"/>
              <w:right w:val="nil"/>
            </w:tcBorders>
            <w:shd w:val="clear" w:color="auto" w:fill="auto"/>
            <w:noWrap/>
            <w:vAlign w:val="bottom"/>
            <w:hideMark/>
          </w:tcPr>
          <w:p w14:paraId="3D663FC0" w14:textId="77777777" w:rsidR="00244098" w:rsidRPr="00244098" w:rsidRDefault="00244098" w:rsidP="00244098">
            <w:pPr>
              <w:spacing w:line="240" w:lineRule="auto"/>
              <w:jc w:val="right"/>
              <w:rPr>
                <w:rFonts w:ascii="Arial" w:eastAsia="Times New Roman" w:hAnsi="Arial" w:cs="Arial"/>
                <w:sz w:val="18"/>
                <w:szCs w:val="18"/>
                <w:lang w:eastAsia="de-DE"/>
              </w:rPr>
            </w:pPr>
            <w:r w:rsidRPr="00244098">
              <w:rPr>
                <w:rFonts w:ascii="Arial" w:eastAsia="Times New Roman" w:hAnsi="Arial" w:cs="Arial"/>
                <w:sz w:val="18"/>
                <w:szCs w:val="18"/>
                <w:lang w:eastAsia="de-DE"/>
              </w:rPr>
              <w:t>2017</w:t>
            </w:r>
          </w:p>
        </w:tc>
        <w:tc>
          <w:tcPr>
            <w:tcW w:w="1240" w:type="dxa"/>
            <w:tcBorders>
              <w:top w:val="nil"/>
              <w:left w:val="nil"/>
              <w:bottom w:val="nil"/>
              <w:right w:val="nil"/>
            </w:tcBorders>
            <w:shd w:val="clear" w:color="auto" w:fill="auto"/>
            <w:noWrap/>
            <w:vAlign w:val="bottom"/>
            <w:hideMark/>
          </w:tcPr>
          <w:p w14:paraId="16A881EB" w14:textId="77777777" w:rsidR="00244098" w:rsidRPr="00244098" w:rsidRDefault="00244098" w:rsidP="00244098">
            <w:pPr>
              <w:spacing w:line="240" w:lineRule="auto"/>
              <w:jc w:val="right"/>
              <w:rPr>
                <w:rFonts w:ascii="Arial" w:eastAsia="Times New Roman" w:hAnsi="Arial" w:cs="Arial"/>
                <w:sz w:val="18"/>
                <w:szCs w:val="18"/>
                <w:lang w:eastAsia="de-DE"/>
              </w:rPr>
            </w:pPr>
            <w:r w:rsidRPr="00244098">
              <w:rPr>
                <w:rFonts w:ascii="Arial" w:eastAsia="Times New Roman" w:hAnsi="Arial" w:cs="Arial"/>
                <w:sz w:val="18"/>
                <w:szCs w:val="18"/>
                <w:lang w:eastAsia="de-DE"/>
              </w:rPr>
              <w:t>2016</w:t>
            </w:r>
          </w:p>
        </w:tc>
      </w:tr>
      <w:tr w:rsidR="00244098" w:rsidRPr="00244098" w14:paraId="0D05485C" w14:textId="77777777" w:rsidTr="00244098">
        <w:trPr>
          <w:trHeight w:val="288"/>
        </w:trPr>
        <w:tc>
          <w:tcPr>
            <w:tcW w:w="1276" w:type="dxa"/>
            <w:tcBorders>
              <w:top w:val="nil"/>
              <w:left w:val="nil"/>
              <w:bottom w:val="nil"/>
              <w:right w:val="nil"/>
            </w:tcBorders>
            <w:shd w:val="clear" w:color="auto" w:fill="auto"/>
            <w:noWrap/>
            <w:vAlign w:val="bottom"/>
            <w:hideMark/>
          </w:tcPr>
          <w:p w14:paraId="09BBD76C" w14:textId="77777777" w:rsidR="00244098" w:rsidRPr="00244098" w:rsidRDefault="00244098" w:rsidP="00244098">
            <w:pPr>
              <w:spacing w:line="240" w:lineRule="auto"/>
              <w:rPr>
                <w:rFonts w:ascii="Arial" w:eastAsia="Times New Roman" w:hAnsi="Arial" w:cs="Arial"/>
                <w:sz w:val="20"/>
                <w:szCs w:val="20"/>
                <w:lang w:eastAsia="de-DE"/>
              </w:rPr>
            </w:pPr>
            <w:r w:rsidRPr="00244098">
              <w:rPr>
                <w:rFonts w:ascii="Arial" w:eastAsia="Times New Roman" w:hAnsi="Arial" w:cs="Arial"/>
                <w:sz w:val="20"/>
                <w:szCs w:val="20"/>
                <w:lang w:eastAsia="de-DE"/>
              </w:rPr>
              <w:t>MM-LI-MN</w:t>
            </w:r>
          </w:p>
        </w:tc>
        <w:tc>
          <w:tcPr>
            <w:tcW w:w="1102" w:type="dxa"/>
            <w:tcBorders>
              <w:top w:val="nil"/>
              <w:left w:val="nil"/>
              <w:bottom w:val="nil"/>
              <w:right w:val="nil"/>
            </w:tcBorders>
            <w:shd w:val="clear" w:color="auto" w:fill="auto"/>
            <w:noWrap/>
            <w:vAlign w:val="bottom"/>
            <w:hideMark/>
          </w:tcPr>
          <w:p w14:paraId="0643EEBA"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17,90%</w:t>
            </w:r>
          </w:p>
        </w:tc>
        <w:tc>
          <w:tcPr>
            <w:tcW w:w="1106" w:type="dxa"/>
            <w:tcBorders>
              <w:top w:val="nil"/>
              <w:left w:val="nil"/>
              <w:bottom w:val="nil"/>
              <w:right w:val="nil"/>
            </w:tcBorders>
            <w:shd w:val="clear" w:color="auto" w:fill="auto"/>
            <w:noWrap/>
            <w:vAlign w:val="bottom"/>
            <w:hideMark/>
          </w:tcPr>
          <w:p w14:paraId="772A1AA7"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18,49%</w:t>
            </w:r>
          </w:p>
        </w:tc>
        <w:tc>
          <w:tcPr>
            <w:tcW w:w="1240" w:type="dxa"/>
            <w:tcBorders>
              <w:top w:val="nil"/>
              <w:left w:val="nil"/>
              <w:bottom w:val="nil"/>
              <w:right w:val="nil"/>
            </w:tcBorders>
            <w:shd w:val="clear" w:color="auto" w:fill="auto"/>
            <w:noWrap/>
            <w:vAlign w:val="bottom"/>
            <w:hideMark/>
          </w:tcPr>
          <w:p w14:paraId="254D64A4"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18,24%</w:t>
            </w:r>
          </w:p>
        </w:tc>
        <w:tc>
          <w:tcPr>
            <w:tcW w:w="1240" w:type="dxa"/>
            <w:tcBorders>
              <w:top w:val="nil"/>
              <w:left w:val="nil"/>
              <w:bottom w:val="nil"/>
              <w:right w:val="nil"/>
            </w:tcBorders>
            <w:shd w:val="clear" w:color="auto" w:fill="auto"/>
            <w:noWrap/>
            <w:vAlign w:val="bottom"/>
            <w:hideMark/>
          </w:tcPr>
          <w:p w14:paraId="251AB7AE"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18,12%</w:t>
            </w:r>
          </w:p>
        </w:tc>
      </w:tr>
      <w:tr w:rsidR="00244098" w:rsidRPr="00244098" w14:paraId="615C402E" w14:textId="77777777" w:rsidTr="00244098">
        <w:trPr>
          <w:trHeight w:val="288"/>
        </w:trPr>
        <w:tc>
          <w:tcPr>
            <w:tcW w:w="1276" w:type="dxa"/>
            <w:tcBorders>
              <w:top w:val="nil"/>
              <w:left w:val="nil"/>
              <w:bottom w:val="nil"/>
              <w:right w:val="nil"/>
            </w:tcBorders>
            <w:shd w:val="clear" w:color="auto" w:fill="auto"/>
            <w:noWrap/>
            <w:vAlign w:val="bottom"/>
            <w:hideMark/>
          </w:tcPr>
          <w:p w14:paraId="1EB5A31A" w14:textId="77777777" w:rsidR="00244098" w:rsidRPr="00244098" w:rsidRDefault="00244098" w:rsidP="00244098">
            <w:pPr>
              <w:spacing w:line="240" w:lineRule="auto"/>
              <w:rPr>
                <w:rFonts w:ascii="Arial" w:eastAsia="Times New Roman" w:hAnsi="Arial" w:cs="Arial"/>
                <w:sz w:val="20"/>
                <w:szCs w:val="20"/>
                <w:lang w:eastAsia="de-DE"/>
              </w:rPr>
            </w:pPr>
            <w:r w:rsidRPr="00244098">
              <w:rPr>
                <w:rFonts w:ascii="Arial" w:eastAsia="Times New Roman" w:hAnsi="Arial" w:cs="Arial"/>
                <w:sz w:val="20"/>
                <w:szCs w:val="20"/>
                <w:lang w:eastAsia="de-DE"/>
              </w:rPr>
              <w:t>Augsburg</w:t>
            </w:r>
          </w:p>
        </w:tc>
        <w:tc>
          <w:tcPr>
            <w:tcW w:w="1102" w:type="dxa"/>
            <w:tcBorders>
              <w:top w:val="nil"/>
              <w:left w:val="nil"/>
              <w:bottom w:val="nil"/>
              <w:right w:val="nil"/>
            </w:tcBorders>
            <w:shd w:val="clear" w:color="auto" w:fill="auto"/>
            <w:noWrap/>
            <w:vAlign w:val="bottom"/>
            <w:hideMark/>
          </w:tcPr>
          <w:p w14:paraId="393EE055"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16,60%</w:t>
            </w:r>
          </w:p>
        </w:tc>
        <w:tc>
          <w:tcPr>
            <w:tcW w:w="1106" w:type="dxa"/>
            <w:tcBorders>
              <w:top w:val="nil"/>
              <w:left w:val="nil"/>
              <w:bottom w:val="nil"/>
              <w:right w:val="nil"/>
            </w:tcBorders>
            <w:shd w:val="clear" w:color="auto" w:fill="auto"/>
            <w:noWrap/>
            <w:vAlign w:val="bottom"/>
            <w:hideMark/>
          </w:tcPr>
          <w:p w14:paraId="3C30E616"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15,93%</w:t>
            </w:r>
          </w:p>
        </w:tc>
        <w:tc>
          <w:tcPr>
            <w:tcW w:w="1240" w:type="dxa"/>
            <w:tcBorders>
              <w:top w:val="nil"/>
              <w:left w:val="nil"/>
              <w:bottom w:val="nil"/>
              <w:right w:val="nil"/>
            </w:tcBorders>
            <w:shd w:val="clear" w:color="auto" w:fill="auto"/>
            <w:noWrap/>
            <w:vAlign w:val="bottom"/>
            <w:hideMark/>
          </w:tcPr>
          <w:p w14:paraId="3AF79F3A"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15,59%</w:t>
            </w:r>
          </w:p>
        </w:tc>
        <w:tc>
          <w:tcPr>
            <w:tcW w:w="1240" w:type="dxa"/>
            <w:tcBorders>
              <w:top w:val="nil"/>
              <w:left w:val="nil"/>
              <w:bottom w:val="nil"/>
              <w:right w:val="nil"/>
            </w:tcBorders>
            <w:shd w:val="clear" w:color="auto" w:fill="auto"/>
            <w:noWrap/>
            <w:vAlign w:val="bottom"/>
            <w:hideMark/>
          </w:tcPr>
          <w:p w14:paraId="48A4479D" w14:textId="77777777" w:rsidR="00244098" w:rsidRPr="00244098" w:rsidRDefault="00244098" w:rsidP="00244098">
            <w:pPr>
              <w:spacing w:line="240" w:lineRule="auto"/>
              <w:jc w:val="right"/>
              <w:rPr>
                <w:rFonts w:ascii="Arial" w:eastAsia="Times New Roman" w:hAnsi="Arial" w:cs="Arial"/>
                <w:sz w:val="20"/>
                <w:szCs w:val="20"/>
                <w:lang w:eastAsia="de-DE"/>
              </w:rPr>
            </w:pPr>
            <w:r w:rsidRPr="00244098">
              <w:rPr>
                <w:rFonts w:ascii="Arial" w:eastAsia="Times New Roman" w:hAnsi="Arial" w:cs="Arial"/>
                <w:sz w:val="20"/>
                <w:szCs w:val="20"/>
                <w:lang w:eastAsia="de-DE"/>
              </w:rPr>
              <w:t>15,05%</w:t>
            </w:r>
          </w:p>
        </w:tc>
      </w:tr>
    </w:tbl>
    <w:p w14:paraId="227F3D93" w14:textId="6540719B" w:rsidR="00244098" w:rsidRDefault="00244098" w:rsidP="007052A8">
      <w:pPr>
        <w:rPr>
          <w:sz w:val="24"/>
          <w:szCs w:val="24"/>
        </w:rPr>
      </w:pPr>
    </w:p>
    <w:p w14:paraId="74532CC2" w14:textId="493ACC84" w:rsidR="00244098" w:rsidRDefault="00244098" w:rsidP="007052A8">
      <w:pPr>
        <w:rPr>
          <w:sz w:val="24"/>
          <w:szCs w:val="24"/>
        </w:rPr>
      </w:pPr>
      <w:r>
        <w:rPr>
          <w:sz w:val="24"/>
          <w:szCs w:val="24"/>
        </w:rPr>
        <w:t xml:space="preserve">Zwischen der Qualität der beiden Häuser besteht also ein </w:t>
      </w:r>
      <w:r w:rsidRPr="00244098">
        <w:rPr>
          <w:sz w:val="24"/>
          <w:szCs w:val="24"/>
          <w:u w:val="single"/>
        </w:rPr>
        <w:t>erheblicher</w:t>
      </w:r>
      <w:r>
        <w:rPr>
          <w:sz w:val="24"/>
          <w:szCs w:val="24"/>
        </w:rPr>
        <w:t xml:space="preserve"> Unterschied. Beim letztmalig 2016 durchgeführten Ranking der 70 bayerischen Sparkassen nach der Kapitalquote kam die Sparkasse MM-LI-MN auf den 17. Platz, die Kreissparkasse Augsburg </w:t>
      </w:r>
      <w:r w:rsidR="00B4378D">
        <w:rPr>
          <w:sz w:val="24"/>
          <w:szCs w:val="24"/>
        </w:rPr>
        <w:t xml:space="preserve">dagegen </w:t>
      </w:r>
      <w:r>
        <w:rPr>
          <w:sz w:val="24"/>
          <w:szCs w:val="24"/>
        </w:rPr>
        <w:t>auf den 55. Platz. Falls die Kreissparkasse Augsburg schwächelt, wird das Eigenkapital von MM-LI-MN (ca. 400 Mio. €) angegriffen.</w:t>
      </w:r>
    </w:p>
    <w:p w14:paraId="488EBED6" w14:textId="4051C9C1" w:rsidR="00244098" w:rsidRDefault="00244098" w:rsidP="007052A8">
      <w:pPr>
        <w:rPr>
          <w:sz w:val="24"/>
          <w:szCs w:val="24"/>
        </w:rPr>
      </w:pPr>
    </w:p>
    <w:p w14:paraId="1CB5CD17" w14:textId="00437097" w:rsidR="00244098" w:rsidRDefault="00244098" w:rsidP="007052A8">
      <w:pPr>
        <w:rPr>
          <w:sz w:val="24"/>
          <w:szCs w:val="24"/>
        </w:rPr>
      </w:pPr>
      <w:r>
        <w:rPr>
          <w:sz w:val="24"/>
          <w:szCs w:val="24"/>
        </w:rPr>
        <w:t>Jedenfalls steht fest, dass die Sparkasse MM-LI-MN das gesündere der beiden Häuser ist.</w:t>
      </w:r>
    </w:p>
    <w:p w14:paraId="36430A07" w14:textId="44E478B9" w:rsidR="00A5518E" w:rsidRDefault="00A5518E" w:rsidP="007052A8">
      <w:pPr>
        <w:rPr>
          <w:sz w:val="24"/>
          <w:szCs w:val="24"/>
        </w:rPr>
      </w:pPr>
    </w:p>
    <w:p w14:paraId="0BF832B1" w14:textId="2EB36712" w:rsidR="00A5518E" w:rsidRPr="00A5518E" w:rsidRDefault="00A5518E" w:rsidP="007052A8">
      <w:pPr>
        <w:rPr>
          <w:b/>
          <w:bCs/>
          <w:sz w:val="24"/>
          <w:szCs w:val="24"/>
        </w:rPr>
      </w:pPr>
      <w:r w:rsidRPr="00A5518E">
        <w:rPr>
          <w:b/>
          <w:bCs/>
          <w:sz w:val="24"/>
          <w:szCs w:val="24"/>
        </w:rPr>
        <w:t>Mitarbeiter</w:t>
      </w:r>
      <w:r w:rsidR="00313B57">
        <w:rPr>
          <w:b/>
          <w:bCs/>
          <w:sz w:val="24"/>
          <w:szCs w:val="24"/>
        </w:rPr>
        <w:t xml:space="preserve"> (Pendlertätigkeit; Befragung)</w:t>
      </w:r>
      <w:r>
        <w:rPr>
          <w:b/>
          <w:bCs/>
          <w:sz w:val="24"/>
          <w:szCs w:val="24"/>
        </w:rPr>
        <w:t>:</w:t>
      </w:r>
    </w:p>
    <w:p w14:paraId="3D786625" w14:textId="7FEDBE14" w:rsidR="00A5518E" w:rsidRDefault="00A5518E" w:rsidP="007052A8">
      <w:pPr>
        <w:rPr>
          <w:sz w:val="24"/>
          <w:szCs w:val="24"/>
        </w:rPr>
      </w:pPr>
      <w:r>
        <w:rPr>
          <w:sz w:val="24"/>
          <w:szCs w:val="24"/>
        </w:rPr>
        <w:t>Die Mitarbeiterzahlen sind innerhalb von 5 Jahren um knapp 20% zurück gegangen. Die Synergieeffekte innerhalb eines Hauses wurden also schon ausgiebig genutzt.</w:t>
      </w:r>
    </w:p>
    <w:tbl>
      <w:tblPr>
        <w:tblW w:w="7440" w:type="dxa"/>
        <w:tblCellMar>
          <w:left w:w="70" w:type="dxa"/>
          <w:right w:w="70" w:type="dxa"/>
        </w:tblCellMar>
        <w:tblLook w:val="04A0" w:firstRow="1" w:lastRow="0" w:firstColumn="1" w:lastColumn="0" w:noHBand="0" w:noVBand="1"/>
      </w:tblPr>
      <w:tblGrid>
        <w:gridCol w:w="1546"/>
        <w:gridCol w:w="934"/>
        <w:gridCol w:w="1240"/>
        <w:gridCol w:w="1240"/>
        <w:gridCol w:w="1240"/>
        <w:gridCol w:w="1240"/>
      </w:tblGrid>
      <w:tr w:rsidR="00A5518E" w:rsidRPr="00A5518E" w14:paraId="31D247E1" w14:textId="77777777" w:rsidTr="00A5518E">
        <w:trPr>
          <w:trHeight w:val="300"/>
        </w:trPr>
        <w:tc>
          <w:tcPr>
            <w:tcW w:w="2480" w:type="dxa"/>
            <w:gridSpan w:val="2"/>
            <w:tcBorders>
              <w:top w:val="nil"/>
              <w:left w:val="nil"/>
              <w:bottom w:val="nil"/>
              <w:right w:val="nil"/>
            </w:tcBorders>
            <w:shd w:val="clear" w:color="auto" w:fill="auto"/>
            <w:noWrap/>
            <w:vAlign w:val="bottom"/>
            <w:hideMark/>
          </w:tcPr>
          <w:p w14:paraId="72CE1510" w14:textId="77777777" w:rsidR="00A5518E" w:rsidRPr="00A5518E" w:rsidRDefault="00A5518E" w:rsidP="00A5518E">
            <w:pPr>
              <w:spacing w:line="240" w:lineRule="auto"/>
              <w:rPr>
                <w:rFonts w:ascii="Arial" w:eastAsia="Times New Roman" w:hAnsi="Arial" w:cs="Arial"/>
                <w:b/>
                <w:bCs/>
                <w:sz w:val="20"/>
                <w:szCs w:val="20"/>
                <w:lang w:eastAsia="de-DE"/>
              </w:rPr>
            </w:pPr>
            <w:r w:rsidRPr="00A5518E">
              <w:rPr>
                <w:rFonts w:ascii="Arial" w:eastAsia="Times New Roman" w:hAnsi="Arial" w:cs="Arial"/>
                <w:b/>
                <w:bCs/>
                <w:sz w:val="20"/>
                <w:szCs w:val="20"/>
                <w:lang w:eastAsia="de-DE"/>
              </w:rPr>
              <w:t>Mitarbeiterzahlen:</w:t>
            </w:r>
          </w:p>
        </w:tc>
        <w:tc>
          <w:tcPr>
            <w:tcW w:w="1240" w:type="dxa"/>
            <w:tcBorders>
              <w:top w:val="nil"/>
              <w:left w:val="nil"/>
              <w:bottom w:val="nil"/>
              <w:right w:val="nil"/>
            </w:tcBorders>
            <w:shd w:val="clear" w:color="auto" w:fill="auto"/>
            <w:noWrap/>
            <w:vAlign w:val="bottom"/>
            <w:hideMark/>
          </w:tcPr>
          <w:p w14:paraId="670AE944" w14:textId="77777777" w:rsidR="00A5518E" w:rsidRPr="00A5518E" w:rsidRDefault="00A5518E" w:rsidP="00A5518E">
            <w:pPr>
              <w:spacing w:line="240" w:lineRule="auto"/>
              <w:rPr>
                <w:rFonts w:ascii="Arial" w:eastAsia="Times New Roman" w:hAnsi="Arial" w:cs="Arial"/>
                <w:b/>
                <w:bCs/>
                <w:sz w:val="20"/>
                <w:szCs w:val="20"/>
                <w:lang w:eastAsia="de-DE"/>
              </w:rPr>
            </w:pPr>
          </w:p>
        </w:tc>
        <w:tc>
          <w:tcPr>
            <w:tcW w:w="1240" w:type="dxa"/>
            <w:tcBorders>
              <w:top w:val="nil"/>
              <w:left w:val="nil"/>
              <w:bottom w:val="nil"/>
              <w:right w:val="nil"/>
            </w:tcBorders>
            <w:shd w:val="clear" w:color="auto" w:fill="auto"/>
            <w:noWrap/>
            <w:vAlign w:val="bottom"/>
            <w:hideMark/>
          </w:tcPr>
          <w:p w14:paraId="28A3C99E" w14:textId="77777777" w:rsidR="00A5518E" w:rsidRPr="00A5518E" w:rsidRDefault="00A5518E" w:rsidP="00A5518E">
            <w:pPr>
              <w:spacing w:line="240" w:lineRule="auto"/>
              <w:rPr>
                <w:rFonts w:ascii="Times New Roman" w:eastAsia="Times New Roman" w:hAnsi="Times New Roman" w:cs="Times New Roman"/>
                <w:sz w:val="20"/>
                <w:szCs w:val="20"/>
                <w:lang w:eastAsia="de-DE"/>
              </w:rPr>
            </w:pPr>
          </w:p>
        </w:tc>
        <w:tc>
          <w:tcPr>
            <w:tcW w:w="1240" w:type="dxa"/>
            <w:tcBorders>
              <w:top w:val="nil"/>
              <w:left w:val="nil"/>
              <w:bottom w:val="nil"/>
              <w:right w:val="nil"/>
            </w:tcBorders>
            <w:shd w:val="clear" w:color="auto" w:fill="auto"/>
            <w:noWrap/>
            <w:vAlign w:val="bottom"/>
            <w:hideMark/>
          </w:tcPr>
          <w:p w14:paraId="2E7A8C2A" w14:textId="77777777" w:rsidR="00A5518E" w:rsidRPr="00A5518E" w:rsidRDefault="00A5518E" w:rsidP="00A5518E">
            <w:pPr>
              <w:spacing w:line="240" w:lineRule="auto"/>
              <w:rPr>
                <w:rFonts w:ascii="Times New Roman" w:eastAsia="Times New Roman" w:hAnsi="Times New Roman" w:cs="Times New Roman"/>
                <w:sz w:val="20"/>
                <w:szCs w:val="20"/>
                <w:lang w:eastAsia="de-DE"/>
              </w:rPr>
            </w:pPr>
          </w:p>
        </w:tc>
        <w:tc>
          <w:tcPr>
            <w:tcW w:w="1240" w:type="dxa"/>
            <w:tcBorders>
              <w:top w:val="nil"/>
              <w:left w:val="nil"/>
              <w:bottom w:val="nil"/>
              <w:right w:val="nil"/>
            </w:tcBorders>
            <w:shd w:val="clear" w:color="auto" w:fill="auto"/>
            <w:noWrap/>
            <w:vAlign w:val="bottom"/>
            <w:hideMark/>
          </w:tcPr>
          <w:p w14:paraId="2E5FF1F6" w14:textId="77777777" w:rsidR="00A5518E" w:rsidRPr="00A5518E" w:rsidRDefault="00A5518E" w:rsidP="00A5518E">
            <w:pPr>
              <w:spacing w:line="240" w:lineRule="auto"/>
              <w:rPr>
                <w:rFonts w:ascii="Times New Roman" w:eastAsia="Times New Roman" w:hAnsi="Times New Roman" w:cs="Times New Roman"/>
                <w:sz w:val="20"/>
                <w:szCs w:val="20"/>
                <w:lang w:eastAsia="de-DE"/>
              </w:rPr>
            </w:pPr>
          </w:p>
        </w:tc>
      </w:tr>
      <w:tr w:rsidR="00A5518E" w:rsidRPr="00A5518E" w14:paraId="55FDE8B9" w14:textId="77777777" w:rsidTr="00A5518E">
        <w:trPr>
          <w:trHeight w:val="300"/>
        </w:trPr>
        <w:tc>
          <w:tcPr>
            <w:tcW w:w="1546" w:type="dxa"/>
            <w:tcBorders>
              <w:top w:val="single" w:sz="8" w:space="0" w:color="auto"/>
              <w:left w:val="single" w:sz="8" w:space="0" w:color="auto"/>
              <w:bottom w:val="nil"/>
              <w:right w:val="single" w:sz="8" w:space="0" w:color="auto"/>
            </w:tcBorders>
            <w:shd w:val="clear" w:color="auto" w:fill="auto"/>
            <w:noWrap/>
            <w:vAlign w:val="bottom"/>
            <w:hideMark/>
          </w:tcPr>
          <w:p w14:paraId="6B1C5096" w14:textId="77777777" w:rsidR="00A5518E" w:rsidRPr="00A5518E" w:rsidRDefault="00A5518E" w:rsidP="00A5518E">
            <w:pPr>
              <w:spacing w:line="240" w:lineRule="auto"/>
              <w:rPr>
                <w:rFonts w:ascii="Arial" w:eastAsia="Times New Roman" w:hAnsi="Arial" w:cs="Arial"/>
                <w:sz w:val="18"/>
                <w:szCs w:val="18"/>
                <w:lang w:eastAsia="de-DE"/>
              </w:rPr>
            </w:pPr>
            <w:r w:rsidRPr="00A5518E">
              <w:rPr>
                <w:rFonts w:ascii="Arial" w:eastAsia="Times New Roman" w:hAnsi="Arial" w:cs="Arial"/>
                <w:sz w:val="18"/>
                <w:szCs w:val="18"/>
                <w:lang w:eastAsia="de-DE"/>
              </w:rPr>
              <w:t>Jahr</w:t>
            </w:r>
          </w:p>
        </w:tc>
        <w:tc>
          <w:tcPr>
            <w:tcW w:w="934" w:type="dxa"/>
            <w:tcBorders>
              <w:top w:val="single" w:sz="8" w:space="0" w:color="auto"/>
              <w:left w:val="nil"/>
              <w:bottom w:val="nil"/>
              <w:right w:val="nil"/>
            </w:tcBorders>
            <w:shd w:val="clear" w:color="auto" w:fill="auto"/>
            <w:noWrap/>
            <w:vAlign w:val="bottom"/>
            <w:hideMark/>
          </w:tcPr>
          <w:p w14:paraId="384C8021"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2019</w:t>
            </w:r>
          </w:p>
        </w:tc>
        <w:tc>
          <w:tcPr>
            <w:tcW w:w="1240" w:type="dxa"/>
            <w:tcBorders>
              <w:top w:val="single" w:sz="8" w:space="0" w:color="auto"/>
              <w:left w:val="nil"/>
              <w:bottom w:val="nil"/>
              <w:right w:val="nil"/>
            </w:tcBorders>
            <w:shd w:val="clear" w:color="auto" w:fill="auto"/>
            <w:noWrap/>
            <w:vAlign w:val="bottom"/>
            <w:hideMark/>
          </w:tcPr>
          <w:p w14:paraId="69DC52B8"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2018</w:t>
            </w:r>
          </w:p>
        </w:tc>
        <w:tc>
          <w:tcPr>
            <w:tcW w:w="1240" w:type="dxa"/>
            <w:tcBorders>
              <w:top w:val="single" w:sz="8" w:space="0" w:color="auto"/>
              <w:left w:val="nil"/>
              <w:bottom w:val="nil"/>
              <w:right w:val="nil"/>
            </w:tcBorders>
            <w:shd w:val="clear" w:color="auto" w:fill="auto"/>
            <w:noWrap/>
            <w:vAlign w:val="bottom"/>
            <w:hideMark/>
          </w:tcPr>
          <w:p w14:paraId="445E49CA"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2017</w:t>
            </w:r>
          </w:p>
        </w:tc>
        <w:tc>
          <w:tcPr>
            <w:tcW w:w="1240" w:type="dxa"/>
            <w:tcBorders>
              <w:top w:val="single" w:sz="8" w:space="0" w:color="auto"/>
              <w:left w:val="nil"/>
              <w:bottom w:val="nil"/>
              <w:right w:val="nil"/>
            </w:tcBorders>
            <w:shd w:val="clear" w:color="auto" w:fill="auto"/>
            <w:noWrap/>
            <w:vAlign w:val="bottom"/>
            <w:hideMark/>
          </w:tcPr>
          <w:p w14:paraId="7041A844"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2016</w:t>
            </w:r>
          </w:p>
        </w:tc>
        <w:tc>
          <w:tcPr>
            <w:tcW w:w="1240" w:type="dxa"/>
            <w:tcBorders>
              <w:top w:val="single" w:sz="8" w:space="0" w:color="auto"/>
              <w:left w:val="nil"/>
              <w:bottom w:val="nil"/>
              <w:right w:val="single" w:sz="8" w:space="0" w:color="auto"/>
            </w:tcBorders>
            <w:shd w:val="clear" w:color="auto" w:fill="auto"/>
            <w:noWrap/>
            <w:vAlign w:val="bottom"/>
            <w:hideMark/>
          </w:tcPr>
          <w:p w14:paraId="21E12966"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2015</w:t>
            </w:r>
          </w:p>
        </w:tc>
      </w:tr>
      <w:tr w:rsidR="00A5518E" w:rsidRPr="00A5518E" w14:paraId="723D7E2D" w14:textId="77777777" w:rsidTr="00A5518E">
        <w:trPr>
          <w:trHeight w:val="288"/>
        </w:trPr>
        <w:tc>
          <w:tcPr>
            <w:tcW w:w="1546" w:type="dxa"/>
            <w:tcBorders>
              <w:top w:val="single" w:sz="8" w:space="0" w:color="auto"/>
              <w:left w:val="single" w:sz="8" w:space="0" w:color="auto"/>
              <w:bottom w:val="nil"/>
              <w:right w:val="single" w:sz="8" w:space="0" w:color="auto"/>
            </w:tcBorders>
            <w:shd w:val="clear" w:color="auto" w:fill="auto"/>
            <w:noWrap/>
            <w:vAlign w:val="bottom"/>
            <w:hideMark/>
          </w:tcPr>
          <w:p w14:paraId="08D5E3AB" w14:textId="77777777" w:rsidR="00A5518E" w:rsidRPr="00A5518E" w:rsidRDefault="00A5518E" w:rsidP="00A5518E">
            <w:pPr>
              <w:spacing w:line="240" w:lineRule="auto"/>
              <w:rPr>
                <w:rFonts w:ascii="Arial" w:eastAsia="Times New Roman" w:hAnsi="Arial" w:cs="Arial"/>
                <w:sz w:val="18"/>
                <w:szCs w:val="18"/>
                <w:lang w:eastAsia="de-DE"/>
              </w:rPr>
            </w:pPr>
            <w:r w:rsidRPr="00A5518E">
              <w:rPr>
                <w:rFonts w:ascii="Arial" w:eastAsia="Times New Roman" w:hAnsi="Arial" w:cs="Arial"/>
                <w:sz w:val="18"/>
                <w:szCs w:val="18"/>
                <w:lang w:eastAsia="de-DE"/>
              </w:rPr>
              <w:t>MM-LI-MN</w:t>
            </w:r>
          </w:p>
        </w:tc>
        <w:tc>
          <w:tcPr>
            <w:tcW w:w="934" w:type="dxa"/>
            <w:tcBorders>
              <w:top w:val="single" w:sz="8" w:space="0" w:color="auto"/>
              <w:left w:val="nil"/>
              <w:bottom w:val="nil"/>
              <w:right w:val="nil"/>
            </w:tcBorders>
            <w:shd w:val="clear" w:color="auto" w:fill="auto"/>
            <w:noWrap/>
            <w:vAlign w:val="bottom"/>
            <w:hideMark/>
          </w:tcPr>
          <w:p w14:paraId="108BBE29"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603</w:t>
            </w:r>
          </w:p>
        </w:tc>
        <w:tc>
          <w:tcPr>
            <w:tcW w:w="1240" w:type="dxa"/>
            <w:tcBorders>
              <w:top w:val="single" w:sz="8" w:space="0" w:color="auto"/>
              <w:left w:val="nil"/>
              <w:bottom w:val="nil"/>
              <w:right w:val="nil"/>
            </w:tcBorders>
            <w:shd w:val="clear" w:color="auto" w:fill="auto"/>
            <w:noWrap/>
            <w:vAlign w:val="bottom"/>
            <w:hideMark/>
          </w:tcPr>
          <w:p w14:paraId="5C0AF6B8"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612</w:t>
            </w:r>
          </w:p>
        </w:tc>
        <w:tc>
          <w:tcPr>
            <w:tcW w:w="1240" w:type="dxa"/>
            <w:tcBorders>
              <w:top w:val="single" w:sz="8" w:space="0" w:color="auto"/>
              <w:left w:val="nil"/>
              <w:bottom w:val="nil"/>
              <w:right w:val="nil"/>
            </w:tcBorders>
            <w:shd w:val="clear" w:color="auto" w:fill="auto"/>
            <w:noWrap/>
            <w:vAlign w:val="bottom"/>
            <w:hideMark/>
          </w:tcPr>
          <w:p w14:paraId="2BA7EA27"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638</w:t>
            </w:r>
          </w:p>
        </w:tc>
        <w:tc>
          <w:tcPr>
            <w:tcW w:w="1240" w:type="dxa"/>
            <w:tcBorders>
              <w:top w:val="single" w:sz="8" w:space="0" w:color="auto"/>
              <w:left w:val="nil"/>
              <w:bottom w:val="nil"/>
              <w:right w:val="nil"/>
            </w:tcBorders>
            <w:shd w:val="clear" w:color="auto" w:fill="auto"/>
            <w:noWrap/>
            <w:vAlign w:val="bottom"/>
            <w:hideMark/>
          </w:tcPr>
          <w:p w14:paraId="63CEB6ED"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673</w:t>
            </w:r>
          </w:p>
        </w:tc>
        <w:tc>
          <w:tcPr>
            <w:tcW w:w="1240" w:type="dxa"/>
            <w:tcBorders>
              <w:top w:val="single" w:sz="8" w:space="0" w:color="auto"/>
              <w:left w:val="nil"/>
              <w:bottom w:val="nil"/>
              <w:right w:val="single" w:sz="8" w:space="0" w:color="auto"/>
            </w:tcBorders>
            <w:shd w:val="clear" w:color="auto" w:fill="auto"/>
            <w:noWrap/>
            <w:vAlign w:val="bottom"/>
            <w:hideMark/>
          </w:tcPr>
          <w:p w14:paraId="0C4C9D5C"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698</w:t>
            </w:r>
          </w:p>
        </w:tc>
      </w:tr>
      <w:tr w:rsidR="00A5518E" w:rsidRPr="00A5518E" w14:paraId="0844DD66" w14:textId="77777777" w:rsidTr="00A5518E">
        <w:trPr>
          <w:trHeight w:val="300"/>
        </w:trPr>
        <w:tc>
          <w:tcPr>
            <w:tcW w:w="1546" w:type="dxa"/>
            <w:tcBorders>
              <w:top w:val="nil"/>
              <w:left w:val="single" w:sz="8" w:space="0" w:color="auto"/>
              <w:bottom w:val="single" w:sz="8" w:space="0" w:color="auto"/>
              <w:right w:val="single" w:sz="8" w:space="0" w:color="auto"/>
            </w:tcBorders>
            <w:shd w:val="clear" w:color="auto" w:fill="auto"/>
            <w:noWrap/>
            <w:vAlign w:val="bottom"/>
            <w:hideMark/>
          </w:tcPr>
          <w:p w14:paraId="3C1E878C" w14:textId="77777777" w:rsidR="00A5518E" w:rsidRPr="00A5518E" w:rsidRDefault="00A5518E" w:rsidP="00A5518E">
            <w:pPr>
              <w:spacing w:line="240" w:lineRule="auto"/>
              <w:rPr>
                <w:rFonts w:ascii="Calibri" w:eastAsia="Times New Roman" w:hAnsi="Calibri" w:cs="Calibri"/>
                <w:color w:val="000000"/>
                <w:lang w:eastAsia="de-DE"/>
              </w:rPr>
            </w:pPr>
            <w:r w:rsidRPr="00A5518E">
              <w:rPr>
                <w:rFonts w:ascii="Calibri" w:eastAsia="Times New Roman" w:hAnsi="Calibri" w:cs="Calibri"/>
                <w:color w:val="000000"/>
                <w:lang w:eastAsia="de-DE"/>
              </w:rPr>
              <w:t>Augsburg</w:t>
            </w:r>
          </w:p>
        </w:tc>
        <w:tc>
          <w:tcPr>
            <w:tcW w:w="934" w:type="dxa"/>
            <w:tcBorders>
              <w:top w:val="nil"/>
              <w:left w:val="nil"/>
              <w:bottom w:val="single" w:sz="8" w:space="0" w:color="auto"/>
              <w:right w:val="nil"/>
            </w:tcBorders>
            <w:shd w:val="clear" w:color="auto" w:fill="auto"/>
            <w:noWrap/>
            <w:vAlign w:val="bottom"/>
            <w:hideMark/>
          </w:tcPr>
          <w:p w14:paraId="7A42E1CB"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470</w:t>
            </w:r>
          </w:p>
        </w:tc>
        <w:tc>
          <w:tcPr>
            <w:tcW w:w="1240" w:type="dxa"/>
            <w:tcBorders>
              <w:top w:val="nil"/>
              <w:left w:val="nil"/>
              <w:bottom w:val="single" w:sz="8" w:space="0" w:color="auto"/>
              <w:right w:val="nil"/>
            </w:tcBorders>
            <w:shd w:val="clear" w:color="auto" w:fill="auto"/>
            <w:noWrap/>
            <w:vAlign w:val="bottom"/>
            <w:hideMark/>
          </w:tcPr>
          <w:p w14:paraId="72DD2413"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489</w:t>
            </w:r>
          </w:p>
        </w:tc>
        <w:tc>
          <w:tcPr>
            <w:tcW w:w="1240" w:type="dxa"/>
            <w:tcBorders>
              <w:top w:val="nil"/>
              <w:left w:val="nil"/>
              <w:bottom w:val="single" w:sz="8" w:space="0" w:color="auto"/>
              <w:right w:val="nil"/>
            </w:tcBorders>
            <w:shd w:val="clear" w:color="auto" w:fill="auto"/>
            <w:noWrap/>
            <w:vAlign w:val="bottom"/>
            <w:hideMark/>
          </w:tcPr>
          <w:p w14:paraId="28BDEC82"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524</w:t>
            </w:r>
          </w:p>
        </w:tc>
        <w:tc>
          <w:tcPr>
            <w:tcW w:w="1240" w:type="dxa"/>
            <w:tcBorders>
              <w:top w:val="nil"/>
              <w:left w:val="nil"/>
              <w:bottom w:val="single" w:sz="8" w:space="0" w:color="auto"/>
              <w:right w:val="nil"/>
            </w:tcBorders>
            <w:shd w:val="clear" w:color="auto" w:fill="auto"/>
            <w:noWrap/>
            <w:vAlign w:val="bottom"/>
            <w:hideMark/>
          </w:tcPr>
          <w:p w14:paraId="1926F798"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560</w:t>
            </w:r>
          </w:p>
        </w:tc>
        <w:tc>
          <w:tcPr>
            <w:tcW w:w="1240" w:type="dxa"/>
            <w:tcBorders>
              <w:top w:val="nil"/>
              <w:left w:val="nil"/>
              <w:bottom w:val="single" w:sz="8" w:space="0" w:color="auto"/>
              <w:right w:val="single" w:sz="8" w:space="0" w:color="auto"/>
            </w:tcBorders>
            <w:shd w:val="clear" w:color="auto" w:fill="auto"/>
            <w:noWrap/>
            <w:vAlign w:val="bottom"/>
            <w:hideMark/>
          </w:tcPr>
          <w:p w14:paraId="06F536D2" w14:textId="77777777" w:rsidR="00A5518E" w:rsidRPr="00A5518E" w:rsidRDefault="00A5518E" w:rsidP="00A5518E">
            <w:pPr>
              <w:spacing w:line="240" w:lineRule="auto"/>
              <w:jc w:val="center"/>
              <w:rPr>
                <w:rFonts w:ascii="Arial" w:eastAsia="Times New Roman" w:hAnsi="Arial" w:cs="Arial"/>
                <w:sz w:val="18"/>
                <w:szCs w:val="18"/>
                <w:lang w:eastAsia="de-DE"/>
              </w:rPr>
            </w:pPr>
            <w:r w:rsidRPr="00A5518E">
              <w:rPr>
                <w:rFonts w:ascii="Arial" w:eastAsia="Times New Roman" w:hAnsi="Arial" w:cs="Arial"/>
                <w:sz w:val="18"/>
                <w:szCs w:val="18"/>
                <w:lang w:eastAsia="de-DE"/>
              </w:rPr>
              <w:t>595</w:t>
            </w:r>
          </w:p>
        </w:tc>
      </w:tr>
      <w:tr w:rsidR="00A5518E" w:rsidRPr="00A5518E" w14:paraId="59E33056" w14:textId="77777777" w:rsidTr="00A5518E">
        <w:trPr>
          <w:trHeight w:val="300"/>
        </w:trPr>
        <w:tc>
          <w:tcPr>
            <w:tcW w:w="1546" w:type="dxa"/>
            <w:tcBorders>
              <w:top w:val="nil"/>
              <w:left w:val="single" w:sz="8" w:space="0" w:color="auto"/>
              <w:bottom w:val="single" w:sz="8" w:space="0" w:color="auto"/>
              <w:right w:val="single" w:sz="8" w:space="0" w:color="auto"/>
            </w:tcBorders>
            <w:shd w:val="clear" w:color="auto" w:fill="auto"/>
            <w:noWrap/>
            <w:vAlign w:val="bottom"/>
            <w:hideMark/>
          </w:tcPr>
          <w:p w14:paraId="54EE53FE" w14:textId="77777777" w:rsidR="00A5518E" w:rsidRPr="00A5518E" w:rsidRDefault="00A5518E" w:rsidP="00A5518E">
            <w:pPr>
              <w:spacing w:line="240" w:lineRule="auto"/>
              <w:rPr>
                <w:rFonts w:ascii="Calibri" w:eastAsia="Times New Roman" w:hAnsi="Calibri" w:cs="Calibri"/>
                <w:color w:val="000000"/>
                <w:lang w:eastAsia="de-DE"/>
              </w:rPr>
            </w:pPr>
            <w:r w:rsidRPr="00A5518E">
              <w:rPr>
                <w:rFonts w:ascii="Calibri" w:eastAsia="Times New Roman" w:hAnsi="Calibri" w:cs="Calibri"/>
                <w:color w:val="000000"/>
                <w:lang w:eastAsia="de-DE"/>
              </w:rPr>
              <w:t>Summe</w:t>
            </w:r>
          </w:p>
        </w:tc>
        <w:tc>
          <w:tcPr>
            <w:tcW w:w="934" w:type="dxa"/>
            <w:tcBorders>
              <w:top w:val="nil"/>
              <w:left w:val="nil"/>
              <w:bottom w:val="single" w:sz="8" w:space="0" w:color="auto"/>
              <w:right w:val="nil"/>
            </w:tcBorders>
            <w:shd w:val="clear" w:color="auto" w:fill="auto"/>
            <w:noWrap/>
            <w:vAlign w:val="bottom"/>
            <w:hideMark/>
          </w:tcPr>
          <w:p w14:paraId="56190B1E" w14:textId="77777777" w:rsidR="00A5518E" w:rsidRPr="00A5518E" w:rsidRDefault="00A5518E" w:rsidP="00A5518E">
            <w:pPr>
              <w:spacing w:line="240" w:lineRule="auto"/>
              <w:jc w:val="center"/>
              <w:rPr>
                <w:rFonts w:ascii="Calibri" w:eastAsia="Times New Roman" w:hAnsi="Calibri" w:cs="Calibri"/>
                <w:color w:val="000000"/>
                <w:lang w:eastAsia="de-DE"/>
              </w:rPr>
            </w:pPr>
            <w:r w:rsidRPr="00A5518E">
              <w:rPr>
                <w:rFonts w:ascii="Calibri" w:eastAsia="Times New Roman" w:hAnsi="Calibri" w:cs="Calibri"/>
                <w:color w:val="000000"/>
                <w:lang w:eastAsia="de-DE"/>
              </w:rPr>
              <w:t>1.073</w:t>
            </w:r>
          </w:p>
        </w:tc>
        <w:tc>
          <w:tcPr>
            <w:tcW w:w="1240" w:type="dxa"/>
            <w:tcBorders>
              <w:top w:val="nil"/>
              <w:left w:val="nil"/>
              <w:bottom w:val="single" w:sz="8" w:space="0" w:color="auto"/>
              <w:right w:val="nil"/>
            </w:tcBorders>
            <w:shd w:val="clear" w:color="auto" w:fill="auto"/>
            <w:noWrap/>
            <w:vAlign w:val="bottom"/>
            <w:hideMark/>
          </w:tcPr>
          <w:p w14:paraId="19CC618E" w14:textId="77777777" w:rsidR="00A5518E" w:rsidRPr="00A5518E" w:rsidRDefault="00A5518E" w:rsidP="00A5518E">
            <w:pPr>
              <w:spacing w:line="240" w:lineRule="auto"/>
              <w:jc w:val="center"/>
              <w:rPr>
                <w:rFonts w:ascii="Calibri" w:eastAsia="Times New Roman" w:hAnsi="Calibri" w:cs="Calibri"/>
                <w:color w:val="000000"/>
                <w:lang w:eastAsia="de-DE"/>
              </w:rPr>
            </w:pPr>
            <w:r w:rsidRPr="00A5518E">
              <w:rPr>
                <w:rFonts w:ascii="Calibri" w:eastAsia="Times New Roman" w:hAnsi="Calibri" w:cs="Calibri"/>
                <w:color w:val="000000"/>
                <w:lang w:eastAsia="de-DE"/>
              </w:rPr>
              <w:t>1.101</w:t>
            </w:r>
          </w:p>
        </w:tc>
        <w:tc>
          <w:tcPr>
            <w:tcW w:w="1240" w:type="dxa"/>
            <w:tcBorders>
              <w:top w:val="nil"/>
              <w:left w:val="nil"/>
              <w:bottom w:val="single" w:sz="8" w:space="0" w:color="auto"/>
              <w:right w:val="nil"/>
            </w:tcBorders>
            <w:shd w:val="clear" w:color="auto" w:fill="auto"/>
            <w:noWrap/>
            <w:vAlign w:val="bottom"/>
            <w:hideMark/>
          </w:tcPr>
          <w:p w14:paraId="50C74E64" w14:textId="77777777" w:rsidR="00A5518E" w:rsidRPr="00A5518E" w:rsidRDefault="00A5518E" w:rsidP="00A5518E">
            <w:pPr>
              <w:spacing w:line="240" w:lineRule="auto"/>
              <w:jc w:val="center"/>
              <w:rPr>
                <w:rFonts w:ascii="Calibri" w:eastAsia="Times New Roman" w:hAnsi="Calibri" w:cs="Calibri"/>
                <w:color w:val="000000"/>
                <w:lang w:eastAsia="de-DE"/>
              </w:rPr>
            </w:pPr>
            <w:r w:rsidRPr="00A5518E">
              <w:rPr>
                <w:rFonts w:ascii="Calibri" w:eastAsia="Times New Roman" w:hAnsi="Calibri" w:cs="Calibri"/>
                <w:color w:val="000000"/>
                <w:lang w:eastAsia="de-DE"/>
              </w:rPr>
              <w:t>1.162</w:t>
            </w:r>
          </w:p>
        </w:tc>
        <w:tc>
          <w:tcPr>
            <w:tcW w:w="1240" w:type="dxa"/>
            <w:tcBorders>
              <w:top w:val="nil"/>
              <w:left w:val="nil"/>
              <w:bottom w:val="single" w:sz="8" w:space="0" w:color="auto"/>
              <w:right w:val="nil"/>
            </w:tcBorders>
            <w:shd w:val="clear" w:color="auto" w:fill="auto"/>
            <w:noWrap/>
            <w:vAlign w:val="bottom"/>
            <w:hideMark/>
          </w:tcPr>
          <w:p w14:paraId="091728F3" w14:textId="77777777" w:rsidR="00A5518E" w:rsidRPr="00A5518E" w:rsidRDefault="00A5518E" w:rsidP="00A5518E">
            <w:pPr>
              <w:spacing w:line="240" w:lineRule="auto"/>
              <w:jc w:val="center"/>
              <w:rPr>
                <w:rFonts w:ascii="Calibri" w:eastAsia="Times New Roman" w:hAnsi="Calibri" w:cs="Calibri"/>
                <w:color w:val="000000"/>
                <w:lang w:eastAsia="de-DE"/>
              </w:rPr>
            </w:pPr>
            <w:r w:rsidRPr="00A5518E">
              <w:rPr>
                <w:rFonts w:ascii="Calibri" w:eastAsia="Times New Roman" w:hAnsi="Calibri" w:cs="Calibri"/>
                <w:color w:val="000000"/>
                <w:lang w:eastAsia="de-DE"/>
              </w:rPr>
              <w:t>1.233</w:t>
            </w:r>
          </w:p>
        </w:tc>
        <w:tc>
          <w:tcPr>
            <w:tcW w:w="1240" w:type="dxa"/>
            <w:tcBorders>
              <w:top w:val="nil"/>
              <w:left w:val="nil"/>
              <w:bottom w:val="single" w:sz="8" w:space="0" w:color="auto"/>
              <w:right w:val="single" w:sz="8" w:space="0" w:color="auto"/>
            </w:tcBorders>
            <w:shd w:val="clear" w:color="auto" w:fill="auto"/>
            <w:noWrap/>
            <w:vAlign w:val="bottom"/>
            <w:hideMark/>
          </w:tcPr>
          <w:p w14:paraId="588AA4DA" w14:textId="77777777" w:rsidR="00A5518E" w:rsidRPr="00A5518E" w:rsidRDefault="00A5518E" w:rsidP="00A5518E">
            <w:pPr>
              <w:spacing w:line="240" w:lineRule="auto"/>
              <w:jc w:val="center"/>
              <w:rPr>
                <w:rFonts w:ascii="Calibri" w:eastAsia="Times New Roman" w:hAnsi="Calibri" w:cs="Calibri"/>
                <w:color w:val="000000"/>
                <w:lang w:eastAsia="de-DE"/>
              </w:rPr>
            </w:pPr>
            <w:r w:rsidRPr="00A5518E">
              <w:rPr>
                <w:rFonts w:ascii="Calibri" w:eastAsia="Times New Roman" w:hAnsi="Calibri" w:cs="Calibri"/>
                <w:color w:val="000000"/>
                <w:lang w:eastAsia="de-DE"/>
              </w:rPr>
              <w:t>1.293</w:t>
            </w:r>
          </w:p>
        </w:tc>
      </w:tr>
    </w:tbl>
    <w:p w14:paraId="746BA150" w14:textId="5EA1FECC" w:rsidR="00A5518E" w:rsidRDefault="00A5518E" w:rsidP="007052A8">
      <w:pPr>
        <w:rPr>
          <w:sz w:val="24"/>
          <w:szCs w:val="24"/>
        </w:rPr>
      </w:pPr>
    </w:p>
    <w:p w14:paraId="07B8C9EE" w14:textId="3385E672" w:rsidR="00A5518E" w:rsidRDefault="00A5518E" w:rsidP="007052A8">
      <w:pPr>
        <w:rPr>
          <w:sz w:val="24"/>
          <w:szCs w:val="24"/>
        </w:rPr>
      </w:pPr>
      <w:r>
        <w:rPr>
          <w:sz w:val="24"/>
          <w:szCs w:val="24"/>
        </w:rPr>
        <w:t xml:space="preserve">Mittel- und langfristig wirkt sich die Fusion aus </w:t>
      </w:r>
      <w:r w:rsidR="00313B57">
        <w:rPr>
          <w:sz w:val="24"/>
          <w:szCs w:val="24"/>
        </w:rPr>
        <w:t xml:space="preserve">auf die </w:t>
      </w:r>
      <w:r w:rsidR="00313B57" w:rsidRPr="00313B57">
        <w:rPr>
          <w:sz w:val="24"/>
          <w:szCs w:val="24"/>
          <w:u w:val="single"/>
        </w:rPr>
        <w:t>Pendlertätigkeit</w:t>
      </w:r>
      <w:r w:rsidR="00313B57">
        <w:rPr>
          <w:sz w:val="24"/>
          <w:szCs w:val="24"/>
        </w:rPr>
        <w:t xml:space="preserve"> von Mitarbeitern, z.B. von Augsburg nach Memmingen und umgekehrt.</w:t>
      </w:r>
    </w:p>
    <w:p w14:paraId="32E67324" w14:textId="4A434E91" w:rsidR="00313B57" w:rsidRDefault="00313B57" w:rsidP="007052A8">
      <w:pPr>
        <w:rPr>
          <w:sz w:val="24"/>
          <w:szCs w:val="24"/>
        </w:rPr>
      </w:pPr>
      <w:r>
        <w:rPr>
          <w:sz w:val="24"/>
          <w:szCs w:val="24"/>
        </w:rPr>
        <w:lastRenderedPageBreak/>
        <w:t>Bei der (geplatzten) Fusion DAH-FFB-LL stellte sich heraus, dass die Mitarbeiter und der Betriebsrat keine Stellung bezogen hatten zur Fusion. Allen Mitarbeitern der Sparkassen war ein Maulkorb verpasst worden, sie durften sich zu Fragen der Fusion nicht äußern.</w:t>
      </w:r>
    </w:p>
    <w:p w14:paraId="1329F9F4" w14:textId="10864B8F" w:rsidR="00313B57" w:rsidRDefault="00313B57" w:rsidP="007052A8">
      <w:pPr>
        <w:rPr>
          <w:sz w:val="24"/>
          <w:szCs w:val="24"/>
        </w:rPr>
      </w:pPr>
      <w:r>
        <w:rPr>
          <w:sz w:val="24"/>
          <w:szCs w:val="24"/>
        </w:rPr>
        <w:t xml:space="preserve">Das stellte sich heraus in einer Stadtratssitzung in Fürstenfeldbruck (die Stadt ist mit 50% an der Sparkasse FFB beteiligt) als die Fusion beschlossen werden sollte. Auf Befragen des anwesenden Sparkassenchefs musste dieser zugeben, dass der Betriebsrat </w:t>
      </w:r>
      <w:r w:rsidR="002F4AB9">
        <w:rPr>
          <w:sz w:val="24"/>
          <w:szCs w:val="24"/>
        </w:rPr>
        <w:t>seiner Sparkasse (ca. 650 Mitarbeiter) nicht gehört wurde und auch nicht die Mitarbeiter. Daraufhin wurde dieser Tagesordnungspunkt vertagt und kein Beschluss gefasst.</w:t>
      </w:r>
    </w:p>
    <w:p w14:paraId="0B0D55A4" w14:textId="199B19E5" w:rsidR="002F4AB9" w:rsidRPr="00B4378D" w:rsidRDefault="002F4AB9" w:rsidP="007052A8">
      <w:pPr>
        <w:rPr>
          <w:sz w:val="16"/>
          <w:szCs w:val="16"/>
        </w:rPr>
      </w:pPr>
    </w:p>
    <w:p w14:paraId="6E3D2B33" w14:textId="094673A2" w:rsidR="002F4AB9" w:rsidRDefault="003B2005" w:rsidP="007052A8">
      <w:pPr>
        <w:rPr>
          <w:b/>
          <w:bCs/>
          <w:sz w:val="24"/>
          <w:szCs w:val="24"/>
        </w:rPr>
      </w:pPr>
      <w:r w:rsidRPr="003B2005">
        <w:rPr>
          <w:b/>
          <w:bCs/>
          <w:sz w:val="24"/>
          <w:szCs w:val="24"/>
        </w:rPr>
        <w:t>Pro Fusion: Niedrigzinsphase, beschleunigte Digitalisierung, erhöhtes Berichtswesen</w:t>
      </w:r>
    </w:p>
    <w:p w14:paraId="6ECEBB41" w14:textId="3E22B5AF" w:rsidR="003B2005" w:rsidRDefault="003B2005" w:rsidP="007052A8">
      <w:pPr>
        <w:rPr>
          <w:sz w:val="24"/>
          <w:szCs w:val="24"/>
        </w:rPr>
      </w:pPr>
      <w:r w:rsidRPr="003B2005">
        <w:rPr>
          <w:sz w:val="24"/>
          <w:szCs w:val="24"/>
        </w:rPr>
        <w:t xml:space="preserve">Diese Argumente werden seit fünf Jahren regelmäßig geäußert, wenn eine Fusion begründet werden soll. Es handelt sich </w:t>
      </w:r>
      <w:r w:rsidR="00B4378D">
        <w:rPr>
          <w:sz w:val="24"/>
          <w:szCs w:val="24"/>
        </w:rPr>
        <w:t xml:space="preserve">meiner Meinung nach </w:t>
      </w:r>
      <w:r w:rsidRPr="003B2005">
        <w:rPr>
          <w:sz w:val="24"/>
          <w:szCs w:val="24"/>
        </w:rPr>
        <w:t>um Totschlagargumente, die nur auf Angst gründen. Kommt dann eine Fusion nicht zustande, haben sich die Befürchtungen in Luft aufgelöst.</w:t>
      </w:r>
    </w:p>
    <w:p w14:paraId="08006024" w14:textId="151EB7D5" w:rsidR="003B2005" w:rsidRDefault="003B2005" w:rsidP="007052A8">
      <w:pPr>
        <w:rPr>
          <w:sz w:val="24"/>
          <w:szCs w:val="24"/>
        </w:rPr>
      </w:pPr>
      <w:r>
        <w:rPr>
          <w:sz w:val="24"/>
          <w:szCs w:val="24"/>
        </w:rPr>
        <w:t>Bestes Beispiel ist die kleine Sparkasse Moosburg im Landkreis Freising (550 Mio. € Bilanzsumme). Wegen der gestiegenen Regulatorik, also dem von der EU geforderten umfangreichen Berichtswesen, sollte die Sparkasse in die Sparkasse Freising eingegliedert werden. Nachdem der Sparkassenchef von Moosburg erfuhr, dass für kleinere Sparkassen ein reduziertes Berichtswesen erforderlich ist, beendete er die Fusionsgespräche. Er verzichtete damit auf sehr viel Geld (s. oben die Gehälter bei Fusionen), wollte aber seine Sparkasse weiterhin klein und überschaubar halten. Diese Sparkasse ist von der Kapitalquote her die beste Sparkasse in Bayern.</w:t>
      </w:r>
    </w:p>
    <w:p w14:paraId="567F1189" w14:textId="63D0A695" w:rsidR="003B2005" w:rsidRPr="00B4378D" w:rsidRDefault="003B2005" w:rsidP="007052A8">
      <w:pPr>
        <w:rPr>
          <w:sz w:val="16"/>
          <w:szCs w:val="16"/>
        </w:rPr>
      </w:pPr>
    </w:p>
    <w:p w14:paraId="56939EF5" w14:textId="4F8D034C" w:rsidR="003B2005" w:rsidRDefault="00A11B06" w:rsidP="007052A8">
      <w:pPr>
        <w:rPr>
          <w:b/>
          <w:bCs/>
          <w:sz w:val="24"/>
          <w:szCs w:val="24"/>
        </w:rPr>
      </w:pPr>
      <w:r>
        <w:rPr>
          <w:b/>
          <w:bCs/>
          <w:sz w:val="24"/>
          <w:szCs w:val="24"/>
        </w:rPr>
        <w:t xml:space="preserve">Alternativ: </w:t>
      </w:r>
      <w:r w:rsidR="003B2005" w:rsidRPr="003B2005">
        <w:rPr>
          <w:b/>
          <w:bCs/>
          <w:sz w:val="24"/>
          <w:szCs w:val="24"/>
        </w:rPr>
        <w:t>Fusion Kreissparkasse Augsburg mit Stadtsparkasse Augsburg?</w:t>
      </w:r>
    </w:p>
    <w:p w14:paraId="4FF48B8A" w14:textId="38F078F5" w:rsidR="00A11B06" w:rsidRDefault="00D95474" w:rsidP="007052A8">
      <w:pPr>
        <w:rPr>
          <w:sz w:val="24"/>
          <w:szCs w:val="24"/>
        </w:rPr>
      </w:pPr>
      <w:r w:rsidRPr="00D95474">
        <w:rPr>
          <w:sz w:val="24"/>
          <w:szCs w:val="24"/>
        </w:rPr>
        <w:t>Die</w:t>
      </w:r>
      <w:r>
        <w:rPr>
          <w:sz w:val="24"/>
          <w:szCs w:val="24"/>
        </w:rPr>
        <w:t xml:space="preserve"> neue „Megasparkasse“ hat rund 9 Mrd. € Bilanzsumme, wäre die größte in ganz Schwaben und die fünftgrößte in Bayern. Schaut man sich die Landkarte an, so hängen der Landkreis Augsburg und der Landkreis Unterallgäu (Teil der Sparkasse MM-LI-MN) zusammen, der Landkreis Lindau ist aber vom Unterallgäu rund 30 km entfernt. Dazwischen liegt der Landkreis Oberallgäu (Sparkasse Allgäu). Ob man in dieser Situation von eine</w:t>
      </w:r>
      <w:r w:rsidR="00B4378D">
        <w:rPr>
          <w:sz w:val="24"/>
          <w:szCs w:val="24"/>
        </w:rPr>
        <w:t>m</w:t>
      </w:r>
      <w:r>
        <w:rPr>
          <w:sz w:val="24"/>
          <w:szCs w:val="24"/>
        </w:rPr>
        <w:t xml:space="preserve"> vom Sparkassengesetz vorgeschriebenen öffentlichen Auftrag der Versorgung der Bevölkerung mit geld- und kreditwirtschaftlichen </w:t>
      </w:r>
      <w:r w:rsidR="00810B5E">
        <w:rPr>
          <w:sz w:val="24"/>
          <w:szCs w:val="24"/>
        </w:rPr>
        <w:t>Leistungen, der Erbringung von Dienstleistungen für die Bevölkerung und die mittelständische Wirtschaft noch sprechen kann, ist fraglich.</w:t>
      </w:r>
    </w:p>
    <w:p w14:paraId="1556BB04" w14:textId="3B5151A9" w:rsidR="007548E7" w:rsidRPr="009C1DF9" w:rsidRDefault="007548E7" w:rsidP="007052A8">
      <w:pPr>
        <w:rPr>
          <w:sz w:val="16"/>
          <w:szCs w:val="16"/>
        </w:rPr>
      </w:pPr>
    </w:p>
    <w:p w14:paraId="39B685A1" w14:textId="725AA602" w:rsidR="007548E7" w:rsidRDefault="007548E7" w:rsidP="007052A8">
      <w:pPr>
        <w:rPr>
          <w:sz w:val="24"/>
          <w:szCs w:val="24"/>
        </w:rPr>
      </w:pPr>
      <w:r>
        <w:rPr>
          <w:sz w:val="24"/>
          <w:szCs w:val="24"/>
        </w:rPr>
        <w:t>Die Identität des Bürgers, der Kommunalpolitik und des Mittelstands mit „seiner“ Sparkasse geht verloren.</w:t>
      </w:r>
    </w:p>
    <w:p w14:paraId="516B8DB5" w14:textId="3BAF83C3" w:rsidR="00810B5E" w:rsidRPr="009C1DF9" w:rsidRDefault="00810B5E" w:rsidP="007052A8">
      <w:pPr>
        <w:rPr>
          <w:sz w:val="16"/>
          <w:szCs w:val="16"/>
        </w:rPr>
      </w:pPr>
    </w:p>
    <w:p w14:paraId="575EB2F8" w14:textId="2259115B" w:rsidR="00810B5E" w:rsidRDefault="00810B5E" w:rsidP="007052A8">
      <w:pPr>
        <w:rPr>
          <w:sz w:val="24"/>
          <w:szCs w:val="24"/>
        </w:rPr>
      </w:pPr>
      <w:r>
        <w:rPr>
          <w:sz w:val="24"/>
          <w:szCs w:val="24"/>
        </w:rPr>
        <w:t>Nun gibt es zwei Augsburger Sparkassen, eine Stadt- und eine Kreissparkasse.</w:t>
      </w:r>
      <w:r w:rsidR="001106D0">
        <w:rPr>
          <w:sz w:val="24"/>
          <w:szCs w:val="24"/>
        </w:rPr>
        <w:t xml:space="preserve"> Diese Situation zweier Sparkassen für Stadt und Landkreis gab es früher in ganz Bayern. Das führte zum sog. „Wildern“: Der Geschäftsbereich erstreckte sich bei einer Kreissparkasse auch auf die Stadt, der Geschäftsbereich der Stadtsparkasse erstreckte sich auch auf den Landkreis. Das führte auch zu zwei Verwaltungsgebäuden dicht nebeneinander (z.B. Schweinfurt). In den letzten Jahrzehnten wurde diese Situation bereinigt und es gibt kein Wildern mehr. Ausnahmen sind die Stadt München und auch Augsburg. </w:t>
      </w:r>
    </w:p>
    <w:p w14:paraId="4DFBA03B" w14:textId="493EDEE9" w:rsidR="001106D0" w:rsidRPr="009C1DF9" w:rsidRDefault="001106D0" w:rsidP="007052A8">
      <w:pPr>
        <w:rPr>
          <w:sz w:val="16"/>
          <w:szCs w:val="16"/>
        </w:rPr>
      </w:pPr>
    </w:p>
    <w:p w14:paraId="0BFA6491" w14:textId="3CF837B2" w:rsidR="003E200D" w:rsidRDefault="003F6258" w:rsidP="007052A8">
      <w:pPr>
        <w:rPr>
          <w:sz w:val="24"/>
          <w:szCs w:val="24"/>
        </w:rPr>
      </w:pPr>
      <w:r>
        <w:rPr>
          <w:sz w:val="24"/>
          <w:szCs w:val="24"/>
        </w:rPr>
        <w:t>Anstelle einer Fusion mit MM-LI-MN ist eine Fusion mit der Stadtsparkasse Augsburg sicher wünschenswerter. Hier sind viele Synergieeffekte vorhanden.</w:t>
      </w:r>
    </w:p>
    <w:p w14:paraId="197D8CBF" w14:textId="7C5D1AC1" w:rsidR="003E200D" w:rsidRDefault="003E200D">
      <w:pPr>
        <w:rPr>
          <w:sz w:val="24"/>
          <w:szCs w:val="24"/>
        </w:rPr>
      </w:pPr>
    </w:p>
    <w:p w14:paraId="49B2BD8D" w14:textId="393BC831" w:rsidR="002F4AB9" w:rsidRPr="007548E7" w:rsidRDefault="007548E7" w:rsidP="007052A8">
      <w:pPr>
        <w:rPr>
          <w:b/>
          <w:bCs/>
          <w:sz w:val="28"/>
          <w:szCs w:val="28"/>
        </w:rPr>
      </w:pPr>
      <w:r w:rsidRPr="007548E7">
        <w:rPr>
          <w:b/>
          <w:bCs/>
          <w:sz w:val="28"/>
          <w:szCs w:val="28"/>
        </w:rPr>
        <w:t>Zusammenfassung</w:t>
      </w:r>
    </w:p>
    <w:p w14:paraId="457BD631" w14:textId="1EB8CA5D" w:rsidR="007548E7" w:rsidRDefault="007548E7" w:rsidP="007548E7">
      <w:pPr>
        <w:pStyle w:val="Listenabsatz"/>
        <w:numPr>
          <w:ilvl w:val="0"/>
          <w:numId w:val="6"/>
        </w:numPr>
        <w:rPr>
          <w:sz w:val="24"/>
          <w:szCs w:val="24"/>
        </w:rPr>
      </w:pPr>
      <w:r w:rsidRPr="007548E7">
        <w:rPr>
          <w:sz w:val="24"/>
          <w:szCs w:val="24"/>
        </w:rPr>
        <w:t xml:space="preserve">Wegen der fehlenden Bilanz 2020 sollten </w:t>
      </w:r>
      <w:r w:rsidR="002D01C1">
        <w:rPr>
          <w:sz w:val="24"/>
          <w:szCs w:val="24"/>
        </w:rPr>
        <w:t xml:space="preserve">die </w:t>
      </w:r>
      <w:r w:rsidRPr="007548E7">
        <w:rPr>
          <w:sz w:val="24"/>
          <w:szCs w:val="24"/>
        </w:rPr>
        <w:t xml:space="preserve">Beratungen verschoben werden. </w:t>
      </w:r>
    </w:p>
    <w:p w14:paraId="3F0F5C2E" w14:textId="7C077F76" w:rsidR="007548E7" w:rsidRDefault="007548E7" w:rsidP="007548E7">
      <w:pPr>
        <w:pStyle w:val="Listenabsatz"/>
        <w:numPr>
          <w:ilvl w:val="0"/>
          <w:numId w:val="6"/>
        </w:numPr>
        <w:rPr>
          <w:sz w:val="24"/>
          <w:szCs w:val="24"/>
        </w:rPr>
      </w:pPr>
      <w:r>
        <w:rPr>
          <w:sz w:val="24"/>
          <w:szCs w:val="24"/>
        </w:rPr>
        <w:t>Gewinner der Fusion sind die Vorstände, Verwaltungsräte und einige Mitarbeiter</w:t>
      </w:r>
    </w:p>
    <w:p w14:paraId="46B1CCF9" w14:textId="1F1B489C" w:rsidR="007548E7" w:rsidRDefault="007548E7" w:rsidP="007548E7">
      <w:pPr>
        <w:pStyle w:val="Listenabsatz"/>
        <w:numPr>
          <w:ilvl w:val="0"/>
          <w:numId w:val="6"/>
        </w:numPr>
        <w:rPr>
          <w:sz w:val="24"/>
          <w:szCs w:val="24"/>
        </w:rPr>
      </w:pPr>
      <w:r>
        <w:rPr>
          <w:sz w:val="24"/>
          <w:szCs w:val="24"/>
        </w:rPr>
        <w:t xml:space="preserve">Die Anteile der Träger der Sparkasse MM-LI-MN werden drastisch reduziert; stärkster Träger </w:t>
      </w:r>
      <w:r w:rsidR="002D01C1">
        <w:rPr>
          <w:sz w:val="24"/>
          <w:szCs w:val="24"/>
        </w:rPr>
        <w:t>wird</w:t>
      </w:r>
      <w:r>
        <w:rPr>
          <w:sz w:val="24"/>
          <w:szCs w:val="24"/>
        </w:rPr>
        <w:t xml:space="preserve"> der Landkreis Augsburg</w:t>
      </w:r>
    </w:p>
    <w:p w14:paraId="438CCAA0" w14:textId="19D409B1" w:rsidR="007548E7" w:rsidRDefault="007548E7" w:rsidP="007548E7">
      <w:pPr>
        <w:pStyle w:val="Listenabsatz"/>
        <w:numPr>
          <w:ilvl w:val="0"/>
          <w:numId w:val="6"/>
        </w:numPr>
        <w:rPr>
          <w:sz w:val="24"/>
          <w:szCs w:val="24"/>
        </w:rPr>
      </w:pPr>
      <w:r>
        <w:rPr>
          <w:sz w:val="24"/>
          <w:szCs w:val="24"/>
        </w:rPr>
        <w:t>MM-LI-MN ist die gesündere Sparkasse nach der Kernkapitalquote und subventioniert die Sparkasse Augsburg</w:t>
      </w:r>
    </w:p>
    <w:p w14:paraId="2D085799" w14:textId="6579A208" w:rsidR="007548E7" w:rsidRDefault="007548E7" w:rsidP="007548E7">
      <w:pPr>
        <w:pStyle w:val="Listenabsatz"/>
        <w:numPr>
          <w:ilvl w:val="0"/>
          <w:numId w:val="6"/>
        </w:numPr>
        <w:rPr>
          <w:sz w:val="24"/>
          <w:szCs w:val="24"/>
        </w:rPr>
      </w:pPr>
      <w:r>
        <w:rPr>
          <w:sz w:val="24"/>
          <w:szCs w:val="24"/>
        </w:rPr>
        <w:t xml:space="preserve">Die Mitarbeiter sind offenbar </w:t>
      </w:r>
      <w:r w:rsidR="00F77190">
        <w:rPr>
          <w:sz w:val="24"/>
          <w:szCs w:val="24"/>
        </w:rPr>
        <w:t xml:space="preserve">zur Fusion </w:t>
      </w:r>
      <w:r>
        <w:rPr>
          <w:sz w:val="24"/>
          <w:szCs w:val="24"/>
        </w:rPr>
        <w:t>nicht gefragt</w:t>
      </w:r>
      <w:r w:rsidR="00F77190">
        <w:rPr>
          <w:sz w:val="24"/>
          <w:szCs w:val="24"/>
        </w:rPr>
        <w:t xml:space="preserve"> worden</w:t>
      </w:r>
      <w:r>
        <w:rPr>
          <w:sz w:val="24"/>
          <w:szCs w:val="24"/>
        </w:rPr>
        <w:t xml:space="preserve">; sie müssen sich auf </w:t>
      </w:r>
      <w:r w:rsidR="00F77190">
        <w:rPr>
          <w:sz w:val="24"/>
          <w:szCs w:val="24"/>
        </w:rPr>
        <w:t xml:space="preserve">ein </w:t>
      </w:r>
      <w:r>
        <w:rPr>
          <w:sz w:val="24"/>
          <w:szCs w:val="24"/>
        </w:rPr>
        <w:t>Pendlerdasein einrichten</w:t>
      </w:r>
    </w:p>
    <w:p w14:paraId="25455F03" w14:textId="3C9C5026" w:rsidR="007548E7" w:rsidRDefault="007548E7" w:rsidP="007548E7">
      <w:pPr>
        <w:pStyle w:val="Listenabsatz"/>
        <w:numPr>
          <w:ilvl w:val="0"/>
          <w:numId w:val="6"/>
        </w:numPr>
        <w:rPr>
          <w:sz w:val="24"/>
          <w:szCs w:val="24"/>
        </w:rPr>
      </w:pPr>
      <w:r>
        <w:rPr>
          <w:sz w:val="24"/>
          <w:szCs w:val="24"/>
        </w:rPr>
        <w:t>Niedrigzinsphase, Digitalisierung und Regulierung sind bekannte Totschlagargumente für jede Fusion und zählen</w:t>
      </w:r>
      <w:r w:rsidR="002D01C1">
        <w:rPr>
          <w:sz w:val="24"/>
          <w:szCs w:val="24"/>
        </w:rPr>
        <w:t xml:space="preserve"> hier</w:t>
      </w:r>
      <w:r>
        <w:rPr>
          <w:sz w:val="24"/>
          <w:szCs w:val="24"/>
        </w:rPr>
        <w:t xml:space="preserve"> nicht.</w:t>
      </w:r>
    </w:p>
    <w:p w14:paraId="50AAF912" w14:textId="53BB9FEA" w:rsidR="007548E7" w:rsidRDefault="00F77190" w:rsidP="007548E7">
      <w:pPr>
        <w:pStyle w:val="Listenabsatz"/>
        <w:numPr>
          <w:ilvl w:val="0"/>
          <w:numId w:val="6"/>
        </w:numPr>
        <w:rPr>
          <w:sz w:val="24"/>
          <w:szCs w:val="24"/>
        </w:rPr>
      </w:pPr>
      <w:r>
        <w:rPr>
          <w:sz w:val="24"/>
          <w:szCs w:val="24"/>
        </w:rPr>
        <w:t>Die Fusion von Stadt- und Kreissparkasse Augsburg sollte ins Auge gefasst werden um das sog. „Wildern“ unmöglich zu machen.</w:t>
      </w:r>
    </w:p>
    <w:p w14:paraId="3C7EB41B" w14:textId="5FEA09CB" w:rsidR="00F77190" w:rsidRPr="00036195" w:rsidRDefault="00F77190" w:rsidP="007548E7">
      <w:pPr>
        <w:pStyle w:val="Listenabsatz"/>
        <w:numPr>
          <w:ilvl w:val="0"/>
          <w:numId w:val="6"/>
        </w:numPr>
        <w:rPr>
          <w:sz w:val="24"/>
          <w:szCs w:val="24"/>
        </w:rPr>
      </w:pPr>
      <w:r>
        <w:rPr>
          <w:sz w:val="24"/>
          <w:szCs w:val="24"/>
        </w:rPr>
        <w:t xml:space="preserve">Die Worte von Th. Mundig „Die beiden Institute hätten auch eigenständig Aussicht auf eine erfolgreiche Zukunft“ sollten beherzigt werden: </w:t>
      </w:r>
      <w:r w:rsidRPr="00F77190">
        <w:rPr>
          <w:b/>
          <w:bCs/>
          <w:sz w:val="24"/>
          <w:szCs w:val="24"/>
          <w:u w:val="single"/>
        </w:rPr>
        <w:t>Die Fusion ist abzulehnen!</w:t>
      </w:r>
    </w:p>
    <w:p w14:paraId="30869706" w14:textId="56E7F6F2" w:rsidR="00036195" w:rsidRDefault="00036195" w:rsidP="00036195">
      <w:pPr>
        <w:rPr>
          <w:sz w:val="24"/>
          <w:szCs w:val="24"/>
        </w:rPr>
      </w:pPr>
    </w:p>
    <w:p w14:paraId="1BF97F34" w14:textId="4D91A6D6" w:rsidR="00036195" w:rsidRDefault="00036195" w:rsidP="00036195">
      <w:pPr>
        <w:rPr>
          <w:sz w:val="24"/>
          <w:szCs w:val="24"/>
        </w:rPr>
      </w:pPr>
    </w:p>
    <w:p w14:paraId="6122394A" w14:textId="42B68D7C" w:rsidR="00036195" w:rsidRDefault="00036195" w:rsidP="00036195">
      <w:pPr>
        <w:rPr>
          <w:sz w:val="24"/>
          <w:szCs w:val="24"/>
        </w:rPr>
      </w:pPr>
      <w:r>
        <w:rPr>
          <w:sz w:val="24"/>
          <w:szCs w:val="24"/>
        </w:rPr>
        <w:t>29.4.2021</w:t>
      </w:r>
    </w:p>
    <w:p w14:paraId="67BA3B61" w14:textId="5FF2B33D" w:rsidR="00036195" w:rsidRDefault="00036195" w:rsidP="00036195">
      <w:pPr>
        <w:rPr>
          <w:sz w:val="24"/>
          <w:szCs w:val="24"/>
        </w:rPr>
      </w:pPr>
      <w:r>
        <w:rPr>
          <w:sz w:val="24"/>
          <w:szCs w:val="24"/>
        </w:rPr>
        <w:t>Dr. Rainer Gottwald</w:t>
      </w:r>
    </w:p>
    <w:p w14:paraId="7CD32630" w14:textId="58C6024D" w:rsidR="002D01C1" w:rsidRDefault="002D01C1" w:rsidP="00036195">
      <w:pPr>
        <w:rPr>
          <w:sz w:val="24"/>
          <w:szCs w:val="24"/>
        </w:rPr>
      </w:pPr>
      <w:r>
        <w:rPr>
          <w:sz w:val="24"/>
          <w:szCs w:val="24"/>
        </w:rPr>
        <w:t>St.-Ulrich-Str. 11</w:t>
      </w:r>
    </w:p>
    <w:p w14:paraId="3F531844" w14:textId="56E1836B" w:rsidR="002D01C1" w:rsidRDefault="002D01C1" w:rsidP="00036195">
      <w:pPr>
        <w:rPr>
          <w:sz w:val="24"/>
          <w:szCs w:val="24"/>
        </w:rPr>
      </w:pPr>
      <w:r>
        <w:rPr>
          <w:sz w:val="24"/>
          <w:szCs w:val="24"/>
        </w:rPr>
        <w:t>86899 Landsberg am Lech</w:t>
      </w:r>
    </w:p>
    <w:p w14:paraId="247B8686" w14:textId="592EA565" w:rsidR="002D01C1" w:rsidRPr="00036195" w:rsidRDefault="002D01C1" w:rsidP="00036195">
      <w:pPr>
        <w:rPr>
          <w:sz w:val="24"/>
          <w:szCs w:val="24"/>
        </w:rPr>
      </w:pPr>
      <w:r>
        <w:rPr>
          <w:sz w:val="24"/>
          <w:szCs w:val="24"/>
        </w:rPr>
        <w:t>Tel. 08191-922219</w:t>
      </w:r>
    </w:p>
    <w:sectPr w:rsidR="002D01C1" w:rsidRPr="0003619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C725" w14:textId="77777777" w:rsidR="00C354F4" w:rsidRDefault="00C354F4" w:rsidP="009A3D1E">
      <w:pPr>
        <w:spacing w:line="240" w:lineRule="auto"/>
      </w:pPr>
      <w:r>
        <w:separator/>
      </w:r>
    </w:p>
  </w:endnote>
  <w:endnote w:type="continuationSeparator" w:id="0">
    <w:p w14:paraId="4E53940C" w14:textId="77777777" w:rsidR="00C354F4" w:rsidRDefault="00C354F4" w:rsidP="009A3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6CF8" w14:textId="77777777" w:rsidR="00C354F4" w:rsidRDefault="00C354F4" w:rsidP="009A3D1E">
      <w:pPr>
        <w:spacing w:line="240" w:lineRule="auto"/>
      </w:pPr>
      <w:r>
        <w:separator/>
      </w:r>
    </w:p>
  </w:footnote>
  <w:footnote w:type="continuationSeparator" w:id="0">
    <w:p w14:paraId="2E9CF290" w14:textId="77777777" w:rsidR="00C354F4" w:rsidRDefault="00C354F4" w:rsidP="009A3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4AE58372" w14:textId="77777777" w:rsidR="00A359DE" w:rsidRDefault="00A359DE">
        <w:pPr>
          <w:pStyle w:val="Kopfzeile"/>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7E638EE" w14:textId="77777777" w:rsidR="00A359DE" w:rsidRDefault="00A359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894"/>
    <w:multiLevelType w:val="hybridMultilevel"/>
    <w:tmpl w:val="6DBC6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1C0A23"/>
    <w:multiLevelType w:val="hybridMultilevel"/>
    <w:tmpl w:val="370E6460"/>
    <w:lvl w:ilvl="0" w:tplc="1C4A976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2C0FD9"/>
    <w:multiLevelType w:val="hybridMultilevel"/>
    <w:tmpl w:val="EA6CBB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970E5B"/>
    <w:multiLevelType w:val="hybridMultilevel"/>
    <w:tmpl w:val="A968A646"/>
    <w:lvl w:ilvl="0" w:tplc="1C4A976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2A0507"/>
    <w:multiLevelType w:val="hybridMultilevel"/>
    <w:tmpl w:val="34F60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776A3D"/>
    <w:multiLevelType w:val="hybridMultilevel"/>
    <w:tmpl w:val="E34468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A2"/>
    <w:rsid w:val="0002434C"/>
    <w:rsid w:val="00036195"/>
    <w:rsid w:val="000418A2"/>
    <w:rsid w:val="00053A96"/>
    <w:rsid w:val="000638DB"/>
    <w:rsid w:val="0007561E"/>
    <w:rsid w:val="001106D0"/>
    <w:rsid w:val="001411A1"/>
    <w:rsid w:val="00147A50"/>
    <w:rsid w:val="001671C7"/>
    <w:rsid w:val="00244098"/>
    <w:rsid w:val="002607C5"/>
    <w:rsid w:val="002D01C1"/>
    <w:rsid w:val="002F4AB9"/>
    <w:rsid w:val="00313B57"/>
    <w:rsid w:val="00326717"/>
    <w:rsid w:val="00360D59"/>
    <w:rsid w:val="003B2005"/>
    <w:rsid w:val="003E200D"/>
    <w:rsid w:val="003F6258"/>
    <w:rsid w:val="0041451E"/>
    <w:rsid w:val="005359F2"/>
    <w:rsid w:val="00563E8D"/>
    <w:rsid w:val="005731A2"/>
    <w:rsid w:val="005C1F3B"/>
    <w:rsid w:val="006275DC"/>
    <w:rsid w:val="006615A7"/>
    <w:rsid w:val="0069105A"/>
    <w:rsid w:val="006A7DB7"/>
    <w:rsid w:val="006B2117"/>
    <w:rsid w:val="00701BBD"/>
    <w:rsid w:val="007052A8"/>
    <w:rsid w:val="00714D38"/>
    <w:rsid w:val="007548E7"/>
    <w:rsid w:val="007E4948"/>
    <w:rsid w:val="00810B5E"/>
    <w:rsid w:val="009129E8"/>
    <w:rsid w:val="0095768E"/>
    <w:rsid w:val="00964608"/>
    <w:rsid w:val="009A3D1E"/>
    <w:rsid w:val="009A4895"/>
    <w:rsid w:val="009C1DF9"/>
    <w:rsid w:val="00A11B06"/>
    <w:rsid w:val="00A359DE"/>
    <w:rsid w:val="00A5518E"/>
    <w:rsid w:val="00AB55A5"/>
    <w:rsid w:val="00B004B5"/>
    <w:rsid w:val="00B4378D"/>
    <w:rsid w:val="00B652D5"/>
    <w:rsid w:val="00B72810"/>
    <w:rsid w:val="00C354F4"/>
    <w:rsid w:val="00C35E03"/>
    <w:rsid w:val="00C4565D"/>
    <w:rsid w:val="00C84F00"/>
    <w:rsid w:val="00C92319"/>
    <w:rsid w:val="00CB77D3"/>
    <w:rsid w:val="00CC72FD"/>
    <w:rsid w:val="00D24B28"/>
    <w:rsid w:val="00D95474"/>
    <w:rsid w:val="00DB3D5D"/>
    <w:rsid w:val="00E975FE"/>
    <w:rsid w:val="00EA6A59"/>
    <w:rsid w:val="00EE4657"/>
    <w:rsid w:val="00EF6907"/>
    <w:rsid w:val="00F4766F"/>
    <w:rsid w:val="00F77190"/>
    <w:rsid w:val="00FC6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1CCA"/>
  <w15:chartTrackingRefBased/>
  <w15:docId w15:val="{24390C63-7D9C-4213-9C6D-07561A42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895"/>
    <w:pPr>
      <w:ind w:left="720"/>
      <w:contextualSpacing/>
    </w:pPr>
  </w:style>
  <w:style w:type="paragraph" w:styleId="Kopfzeile">
    <w:name w:val="header"/>
    <w:basedOn w:val="Standard"/>
    <w:link w:val="KopfzeileZchn"/>
    <w:uiPriority w:val="99"/>
    <w:unhideWhenUsed/>
    <w:rsid w:val="009A3D1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A3D1E"/>
  </w:style>
  <w:style w:type="paragraph" w:styleId="Fuzeile">
    <w:name w:val="footer"/>
    <w:basedOn w:val="Standard"/>
    <w:link w:val="FuzeileZchn"/>
    <w:uiPriority w:val="99"/>
    <w:unhideWhenUsed/>
    <w:rsid w:val="009A3D1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A3D1E"/>
  </w:style>
  <w:style w:type="paragraph" w:styleId="Endnotentext">
    <w:name w:val="endnote text"/>
    <w:basedOn w:val="Standard"/>
    <w:link w:val="EndnotentextZchn"/>
    <w:uiPriority w:val="99"/>
    <w:semiHidden/>
    <w:unhideWhenUsed/>
    <w:rsid w:val="00701BBD"/>
    <w:pPr>
      <w:spacing w:line="240" w:lineRule="auto"/>
    </w:pPr>
    <w:rPr>
      <w:sz w:val="20"/>
      <w:szCs w:val="20"/>
    </w:rPr>
  </w:style>
  <w:style w:type="character" w:customStyle="1" w:styleId="EndnotentextZchn">
    <w:name w:val="Endnotentext Zchn"/>
    <w:basedOn w:val="Absatz-Standardschriftart"/>
    <w:link w:val="Endnotentext"/>
    <w:uiPriority w:val="99"/>
    <w:semiHidden/>
    <w:rsid w:val="00701BBD"/>
    <w:rPr>
      <w:sz w:val="20"/>
      <w:szCs w:val="20"/>
    </w:rPr>
  </w:style>
  <w:style w:type="character" w:styleId="Endnotenzeichen">
    <w:name w:val="endnote reference"/>
    <w:basedOn w:val="Absatz-Standardschriftart"/>
    <w:uiPriority w:val="99"/>
    <w:semiHidden/>
    <w:unhideWhenUsed/>
    <w:rsid w:val="00701B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728">
      <w:bodyDiv w:val="1"/>
      <w:marLeft w:val="0"/>
      <w:marRight w:val="0"/>
      <w:marTop w:val="0"/>
      <w:marBottom w:val="0"/>
      <w:divBdr>
        <w:top w:val="none" w:sz="0" w:space="0" w:color="auto"/>
        <w:left w:val="none" w:sz="0" w:space="0" w:color="auto"/>
        <w:bottom w:val="none" w:sz="0" w:space="0" w:color="auto"/>
        <w:right w:val="none" w:sz="0" w:space="0" w:color="auto"/>
      </w:divBdr>
    </w:div>
    <w:div w:id="63380565">
      <w:bodyDiv w:val="1"/>
      <w:marLeft w:val="0"/>
      <w:marRight w:val="0"/>
      <w:marTop w:val="0"/>
      <w:marBottom w:val="0"/>
      <w:divBdr>
        <w:top w:val="none" w:sz="0" w:space="0" w:color="auto"/>
        <w:left w:val="none" w:sz="0" w:space="0" w:color="auto"/>
        <w:bottom w:val="none" w:sz="0" w:space="0" w:color="auto"/>
        <w:right w:val="none" w:sz="0" w:space="0" w:color="auto"/>
      </w:divBdr>
    </w:div>
    <w:div w:id="569079694">
      <w:bodyDiv w:val="1"/>
      <w:marLeft w:val="0"/>
      <w:marRight w:val="0"/>
      <w:marTop w:val="0"/>
      <w:marBottom w:val="0"/>
      <w:divBdr>
        <w:top w:val="none" w:sz="0" w:space="0" w:color="auto"/>
        <w:left w:val="none" w:sz="0" w:space="0" w:color="auto"/>
        <w:bottom w:val="none" w:sz="0" w:space="0" w:color="auto"/>
        <w:right w:val="none" w:sz="0" w:space="0" w:color="auto"/>
      </w:divBdr>
    </w:div>
    <w:div w:id="789737411">
      <w:bodyDiv w:val="1"/>
      <w:marLeft w:val="0"/>
      <w:marRight w:val="0"/>
      <w:marTop w:val="0"/>
      <w:marBottom w:val="0"/>
      <w:divBdr>
        <w:top w:val="none" w:sz="0" w:space="0" w:color="auto"/>
        <w:left w:val="none" w:sz="0" w:space="0" w:color="auto"/>
        <w:bottom w:val="none" w:sz="0" w:space="0" w:color="auto"/>
        <w:right w:val="none" w:sz="0" w:space="0" w:color="auto"/>
      </w:divBdr>
    </w:div>
    <w:div w:id="1077284348">
      <w:bodyDiv w:val="1"/>
      <w:marLeft w:val="0"/>
      <w:marRight w:val="0"/>
      <w:marTop w:val="0"/>
      <w:marBottom w:val="0"/>
      <w:divBdr>
        <w:top w:val="none" w:sz="0" w:space="0" w:color="auto"/>
        <w:left w:val="none" w:sz="0" w:space="0" w:color="auto"/>
        <w:bottom w:val="none" w:sz="0" w:space="0" w:color="auto"/>
        <w:right w:val="none" w:sz="0" w:space="0" w:color="auto"/>
      </w:divBdr>
    </w:div>
    <w:div w:id="1311400233">
      <w:bodyDiv w:val="1"/>
      <w:marLeft w:val="0"/>
      <w:marRight w:val="0"/>
      <w:marTop w:val="0"/>
      <w:marBottom w:val="0"/>
      <w:divBdr>
        <w:top w:val="none" w:sz="0" w:space="0" w:color="auto"/>
        <w:left w:val="none" w:sz="0" w:space="0" w:color="auto"/>
        <w:bottom w:val="none" w:sz="0" w:space="0" w:color="auto"/>
        <w:right w:val="none" w:sz="0" w:space="0" w:color="auto"/>
      </w:divBdr>
    </w:div>
    <w:div w:id="17809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13817</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Gottwald</dc:creator>
  <cp:keywords/>
  <dc:description/>
  <cp:lastModifiedBy>Rainer Gottwald</cp:lastModifiedBy>
  <cp:revision>44</cp:revision>
  <dcterms:created xsi:type="dcterms:W3CDTF">2021-04-28T09:47:00Z</dcterms:created>
  <dcterms:modified xsi:type="dcterms:W3CDTF">2021-04-29T16:38:00Z</dcterms:modified>
</cp:coreProperties>
</file>